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right"/>
        <w:rPr/>
      </w:pPr>
      <w:r>
        <w:rPr/>
        <w:t xml:space="preserve">Warszawa, </w:t>
      </w:r>
      <w:r>
        <w:rPr/>
        <w:fldChar w:fldCharType="begin"/>
      </w:r>
      <w:r>
        <w:instrText> DATE \@"d.MM.yyyy" </w:instrText>
      </w:r>
      <w:r>
        <w:fldChar w:fldCharType="separate"/>
      </w:r>
      <w:r>
        <w:t>29.12.2013</w:t>
      </w:r>
      <w:r>
        <w:fldChar w:fldCharType="end"/>
      </w:r>
    </w:p>
    <w:p>
      <w:pPr>
        <w:pStyle w:val="style45"/>
        <w:rPr>
          <w:shd w:fill="FFFF00" w:val="clear"/>
        </w:rPr>
      </w:pPr>
      <w:r>
        <w:rPr>
          <w:shd w:fill="FFFF00" w:val="clear"/>
        </w:rPr>
        <w:t>Instytucja</w:t>
      </w:r>
    </w:p>
    <w:p>
      <w:pPr>
        <w:pStyle w:val="style45"/>
        <w:rPr>
          <w:shd w:fill="FFFF00" w:val="clear"/>
        </w:rPr>
      </w:pPr>
      <w:r>
        <w:rPr/>
        <w:t>Strona:</w:t>
        <w:br/>
      </w:r>
      <w:r>
        <w:rPr>
          <w:shd w:fill="FFFF00" w:val="clear"/>
        </w:rPr>
        <w:t>Adam Dobrawy</w:t>
        <w:br/>
        <w:t>ul. Ursynowska 22/2</w:t>
        <w:br/>
        <w:t>02-605 Warszawa</w:t>
      </w:r>
    </w:p>
    <w:p>
      <w:pPr>
        <w:pStyle w:val="style1"/>
        <w:numPr>
          <w:ilvl w:val="0"/>
          <w:numId w:val="1"/>
        </w:numPr>
        <w:rPr/>
      </w:pPr>
      <w:r>
        <w:rPr/>
        <w:t>Wniosek</w:t>
      </w:r>
    </w:p>
    <w:p>
      <w:pPr>
        <w:pStyle w:val="style30"/>
        <w:rPr/>
      </w:pPr>
      <w:r>
        <w:rPr>
          <w:shd w:fill="FFFF00" w:val="clear"/>
        </w:rPr>
        <w:t>Szanowny Burmistrzu Miasta</w:t>
      </w:r>
      <w:r>
        <w:rPr/>
        <w:t>,</w:t>
      </w:r>
    </w:p>
    <w:p>
      <w:pPr>
        <w:pStyle w:val="style30"/>
        <w:rPr/>
      </w:pPr>
      <w:r>
        <w:rPr/>
        <w:t xml:space="preserve">Niniejszym </w:t>
      </w:r>
      <w:r>
        <w:rPr/>
        <w:t xml:space="preserve">pismo kieruje </w:t>
      </w:r>
      <w:r>
        <w:rPr/>
        <w:t xml:space="preserve">stosowanie do treści art. 63 Konstytucji Rzeczpospolitej Polskiej z dnia 2 kwietnia 1997 r., który przesądza o tym, że możliwości zgłaszania petycji i wniosków do organów administracji publicznej jest jedną z konstytucyjnych wolności i praw obywatela, a także treści przepisów art. 61 Konstytucji </w:t>
      </w:r>
      <w:r>
        <w:rPr/>
        <w:t>RP</w:t>
      </w:r>
      <w:r>
        <w:rPr/>
        <w:t xml:space="preserve"> przesądzającym o tym, że prawo do informacji o działalności organów władzy publicznej i osób pełniących funkcje publiczne należy także do tychże konstytucyjnych prawa i wolności. </w:t>
      </w:r>
      <w:r>
        <w:rPr/>
        <w:t>W</w:t>
      </w:r>
      <w:r>
        <w:rPr/>
        <w:t xml:space="preserve"> odniesieniu do </w:t>
      </w:r>
      <w:r>
        <w:rPr/>
        <w:t xml:space="preserve">nich </w:t>
      </w:r>
      <w:r>
        <w:rPr/>
        <w:t>odpowiednio pogłębionej interpretacji powinny podlegać przepisy zawarte w ustawach zwykłych, takich, jak w szczególności ustawi</w:t>
      </w:r>
      <w:r>
        <w:rPr/>
        <w:t>e</w:t>
      </w:r>
      <w:r>
        <w:rPr/>
        <w:t xml:space="preserve"> z dnia 14 czerwca 1960 r. Kodeks postępowania administracyjnego, w tym art. 241 KPA, oraz ustawa z dnia 6 września 2001 r. o dostępie do informacji publicznej. </w:t>
      </w:r>
    </w:p>
    <w:p>
      <w:pPr>
        <w:pStyle w:val="style30"/>
        <w:rPr/>
      </w:pPr>
      <w:r>
        <w:rPr/>
        <w:t xml:space="preserve">Wnoszę </w:t>
      </w:r>
      <w:r>
        <w:rPr/>
        <w:t xml:space="preserve">o rozbudowanie prowadzonego przez Państwa Urząd Biuletynu Informacji Publicznej przez zmieszczenie w nim </w:t>
      </w:r>
      <w:r>
        <w:rPr>
          <w:shd w:fill="FFFF00" w:val="clear"/>
        </w:rPr>
        <w:t>Centralnego Rejestru Umów</w:t>
      </w:r>
      <w:r>
        <w:rPr/>
        <w:t xml:space="preserve">, to jest powszechnie dostępnego zestawienia w formie tabeli podlegającej bieżącej aktualizacji w okresie miesiąca i zawierającej podstawowe informacji o umowach zawieranych przez </w:t>
      </w:r>
      <w:r>
        <w:rPr/>
        <w:t xml:space="preserve">wszystkie komórki organizacyjne </w:t>
      </w:r>
      <w:r>
        <w:rPr/>
        <w:t>Państwa Urz</w:t>
      </w:r>
      <w:r>
        <w:rPr/>
        <w:t>ędu</w:t>
      </w:r>
      <w:r>
        <w:rPr/>
        <w:t xml:space="preserve">. </w:t>
      </w:r>
      <w:r>
        <w:rPr/>
        <w:t>Uważam że powinny się znaleźć w nim następujące rubryki</w:t>
      </w:r>
      <w:r>
        <w:rPr/>
        <w:t xml:space="preserve">: </w:t>
      </w:r>
      <w:r>
        <w:rPr>
          <w:shd w:fill="FFFF00" w:val="clear"/>
        </w:rPr>
        <w:t xml:space="preserve">(i) data zawarcia umowy, (ii) przedmiot umowy, (iii) podmiot, z którym zawarto umowę </w:t>
      </w:r>
      <w:r>
        <w:rPr>
          <w:shd w:fill="FFFF00" w:val="clear"/>
        </w:rPr>
        <w:t>oznaczony przez nazwę i numer KRS/NIP/REGON</w:t>
      </w:r>
      <w:r>
        <w:rPr>
          <w:shd w:fill="FFFF00" w:val="clear"/>
        </w:rPr>
        <w:t xml:space="preserve">, (iv) wartość umowy, (v) okres obowiązywania umowy, (vi) jednostkę/komórkę Urzędu z jakiej działalnością wiąże się zawarcie umowy, </w:t>
      </w:r>
      <w:r>
        <w:rPr>
          <w:shd w:fill="FFFF00" w:val="clear"/>
        </w:rPr>
        <w:t>(vii) klasyfikacja budżetowa wydatku</w:t>
      </w:r>
      <w:r>
        <w:rPr/>
        <w:t>.</w:t>
      </w:r>
    </w:p>
    <w:p>
      <w:pPr>
        <w:pStyle w:val="style30"/>
        <w:rPr/>
      </w:pPr>
      <w:r>
        <w:rPr/>
        <w:t xml:space="preserve">Pragnę wskazać, że utworzenie i udostępnienie takiego rejestru w ramach Biuletynu Informacji Publicznej Państwa Urzędu wpisywałoby się ogólny nurt zwiększeniu przejrzystości i jawności działania organów administracji publicznej, pozytywnie wpływające na relacje tychże organów z obywatelami, a także </w:t>
      </w:r>
      <w:r>
        <w:rPr/>
        <w:t xml:space="preserve">budowało </w:t>
      </w:r>
      <w:r>
        <w:rPr/>
        <w:t>zaufanie tych obywateli do organów.</w:t>
      </w:r>
    </w:p>
    <w:p>
      <w:pPr>
        <w:pStyle w:val="style30"/>
        <w:rPr/>
      </w:pPr>
      <w:r>
        <w:rPr/>
        <w:t>Zwracam uwagę, że wiele Urzędów już opublikowało taki rejestr umów. Przykładowo Urząd Miasta Warszawa</w:t>
      </w:r>
      <w:r>
        <w:rPr>
          <w:rStyle w:val="style27"/>
        </w:rPr>
        <w:footnoteReference w:id="2"/>
      </w:r>
      <w:r>
        <w:rPr/>
        <w:t>, Urząd Miasta w Szczecinie</w:t>
      </w:r>
      <w:r>
        <w:rPr>
          <w:rStyle w:val="style27"/>
        </w:rPr>
        <w:footnoteReference w:id="3"/>
      </w:r>
      <w:r>
        <w:rPr/>
        <w:t>, Starostwo Powiatowe w Wadowicach</w:t>
      </w:r>
      <w:r>
        <w:rPr>
          <w:rStyle w:val="style27"/>
        </w:rPr>
        <w:footnoteReference w:id="4"/>
      </w:r>
      <w:r>
        <w:rPr/>
        <w:t>, wiele z województwa małopolskiego</w:t>
      </w:r>
      <w:r>
        <w:rPr>
          <w:rStyle w:val="style27"/>
        </w:rPr>
        <w:footnoteReference w:id="5"/>
      </w:r>
      <w:r>
        <w:rPr/>
        <w:t xml:space="preserve"> i inni.</w:t>
      </w:r>
    </w:p>
    <w:p>
      <w:pPr>
        <w:pStyle w:val="style30"/>
        <w:rPr>
          <w:shd w:fill="FFFF00" w:val="clear"/>
        </w:rPr>
      </w:pPr>
      <w:r>
        <w:rPr/>
        <w:t xml:space="preserve">Spełnienie powyższego wniosku nie powinno rodzić większych trudności, bo </w:t>
      </w:r>
      <w:r>
        <w:rPr>
          <w:shd w:fill="FFFF00" w:val="clear"/>
        </w:rPr>
        <w:t xml:space="preserve">zgodnie z odpowiednimi przepisami oraz procedurami wewnętrznymi (przepisy o rachunkowości, systemy informatyczne programów księgowych, zestawienia wewnętrzne, Excel) wszystkie organy obiektywnie takie rejestry umów prowadzą, więc obecnie chodzi o ich ujawnienie w ich Biuletynach Informacji Publicznej. </w:t>
      </w:r>
    </w:p>
    <w:p>
      <w:pPr>
        <w:pStyle w:val="style30"/>
        <w:rPr>
          <w:i w:val="false"/>
          <w:iCs w:val="false"/>
          <w:shd w:fill="auto" w:val="clear"/>
        </w:rPr>
      </w:pPr>
      <w:r>
        <w:rPr>
          <w:shd w:fill="auto" w:val="clear"/>
        </w:rPr>
        <w:t>Pragnę zwrócić uwagę, że Sąd Najwyższy 8 listopada 2012 r., oddalając skargę kasacyjną warszawskiego Ratusza (sygn. akt I CSK 190/12), stwierdził „</w:t>
      </w:r>
      <w:r>
        <w:rPr>
          <w:i/>
          <w:iCs/>
          <w:shd w:fill="auto" w:val="clear"/>
        </w:rPr>
        <w:t>Trudno byłoby w tej sytuacji bronić poglądu, że udostępnienie imion i nazwisk osób w rozważanej sytuacji stanowiłoby ograniczenie w zakresie korzystania z konstytucyjnych wolności i praw tych osób (art. 31 ust. 3 i art. 61 ust. 3 Konstytucji RP). W konsekwencji należy zatem przyjąć, że ujawnienie imion i nazwisk osób zawierających umowy cywilnoprawne z jednostką samorządu terytorialnego nie narusza prawa do prywatności tych osób, o którym mowa w art. 5 ust. 2 u.d.i.p.</w:t>
      </w:r>
      <w:r>
        <w:rPr>
          <w:i w:val="false"/>
          <w:iCs w:val="false"/>
          <w:shd w:fill="auto" w:val="clear"/>
        </w:rPr>
        <w:t xml:space="preserve">”, </w:t>
      </w:r>
      <w:r>
        <w:rPr>
          <w:i w:val="false"/>
          <w:iCs w:val="false"/>
          <w:shd w:fill="auto" w:val="clear"/>
        </w:rPr>
        <w:t xml:space="preserve">co świadczy o tym, że </w:t>
      </w:r>
      <w:r>
        <w:rPr>
          <w:i w:val="false"/>
          <w:iCs w:val="false"/>
          <w:shd w:fill="auto" w:val="clear"/>
        </w:rPr>
        <w:t>nie ma przeszkód do ujawnienia żadnych danych odnośnie stron umów.</w:t>
      </w:r>
    </w:p>
    <w:p>
      <w:pPr>
        <w:pStyle w:val="style30"/>
        <w:rPr/>
      </w:pPr>
      <w:r>
        <w:rPr/>
        <w:t xml:space="preserve">Należy w tym zakresie zwrócić </w:t>
      </w:r>
      <w:r>
        <w:rPr/>
        <w:t>również uwagę</w:t>
      </w:r>
      <w:r>
        <w:rPr/>
        <w:t xml:space="preserve"> na to, że wprowadzenie takiego rozwiązania może pozytywnie wpłynąć na postrzeganie Państwa Urzędu ze strony obywateli, zwiększając ich zaufaniu, jako podmiotu szanującego zasady przejrzystości</w:t>
      </w:r>
    </w:p>
    <w:p>
      <w:pPr>
        <w:pStyle w:val="style30"/>
        <w:rPr/>
      </w:pPr>
      <w:r>
        <w:rPr/>
        <w:t xml:space="preserve">Z powyższych względów powyższy wniosek jest racjonalny, i jako taki zasługuje na pozytywne uwzględnienie, o co niniejszym wnoszę.  </w:t>
      </w:r>
    </w:p>
    <w:p>
      <w:pPr>
        <w:pStyle w:val="style32"/>
        <w:spacing w:after="119" w:before="1134"/>
        <w:contextualSpacing w:val="false"/>
        <w:rPr>
          <w:shd w:fill="FFFF00" w:val="clear"/>
        </w:rPr>
      </w:pPr>
      <w:r>
        <w:rPr/>
        <w:t>Z wyrazami szacunku,</w:t>
        <w:br/>
      </w:r>
      <w:r>
        <w:rPr>
          <w:shd w:fill="FFFF00" w:val="clear"/>
        </w:rPr>
        <w:t>…..............</w:t>
      </w:r>
    </w:p>
    <w:sectPr>
      <w:footerReference r:id="rId2" w:type="default"/>
      <w:footnotePr>
        <w:numFmt w:val="decimal"/>
      </w:footnotePr>
      <w:type w:val="nextPage"/>
      <w:pgSz w:h="16838" w:w="11906"/>
      <w:pgMar w:bottom="1417" w:footer="708" w:gutter="0" w:header="0" w:left="1276" w:right="850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7"/>
        <w:rPr/>
      </w:pPr>
      <w:r>
        <w:rPr/>
        <w:footnoteRef/>
        <w:tab/>
        <w:t>http://bip.warszawa.pl/Menu_przedmiotowe/ogloszenia/umowy/default.htm</w:t>
      </w:r>
    </w:p>
  </w:footnote>
  <w:footnote w:id="3">
    <w:p>
      <w:pPr>
        <w:pStyle w:val="style37"/>
        <w:rPr/>
      </w:pPr>
      <w:r>
        <w:rPr/>
        <w:footnoteRef/>
        <w:tab/>
        <w:t>http://bip.um.szczecin.pl/umszczecinbip/chapter_50829.asp</w:t>
      </w:r>
    </w:p>
  </w:footnote>
  <w:footnote w:id="4">
    <w:p>
      <w:pPr>
        <w:pStyle w:val="style37"/>
        <w:rPr/>
      </w:pPr>
      <w:r>
        <w:rPr/>
        <w:footnoteRef/>
        <w:tab/>
        <w:t>http://www.wrotamalopolski.pl/root_BIP/BIP_w_Malopolsce/powiaty/root_wadowicki/przedmiotowe/Rejestry/Gdzie+i+jak+zalatwic+sprawy/rejestr+umow/</w:t>
      </w:r>
    </w:p>
  </w:footnote>
  <w:footnote w:id="5">
    <w:p>
      <w:pPr>
        <w:pStyle w:val="style37"/>
        <w:rPr/>
      </w:pPr>
      <w:r>
        <w:rPr/>
        <w:footnoteRef/>
        <w:tab/>
        <w:t>http://www.dziennikpolski24.pl/pl/aktualnosci/malopolska/1287619-pierwsze-malopolskie-samorzady-ujawniaja-komu-i-za-co-placa.html</w:t>
      </w:r>
    </w:p>
  </w:footnote>
</w:footnote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l-PL"/>
    </w:rPr>
  </w:style>
  <w:style w:styleId="style1" w:type="paragraph">
    <w:name w:val="Nagłówek 1"/>
    <w:basedOn w:val="style2"/>
    <w:next w:val="style30"/>
    <w:pPr>
      <w:numPr>
        <w:ilvl w:val="0"/>
        <w:numId w:val="1"/>
      </w:numPr>
      <w:jc w:val="center"/>
      <w:outlineLvl w:val="0"/>
    </w:pPr>
    <w:rPr>
      <w:b/>
      <w:bCs/>
      <w:sz w:val="32"/>
      <w:szCs w:val="32"/>
    </w:rPr>
  </w:style>
  <w:style w:styleId="style2" w:type="paragraph">
    <w:name w:val="Nagłówek 2"/>
    <w:basedOn w:val="style29"/>
    <w:next w:val="style30"/>
    <w:pPr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styleId="style3" w:type="paragraph">
    <w:name w:val="Nagłówek 3"/>
    <w:basedOn w:val="style29"/>
    <w:next w:val="style30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Domyślna czcionka akapitu"/>
    <w:next w:val="style15"/>
    <w:rPr/>
  </w:style>
  <w:style w:styleId="style16" w:type="character">
    <w:name w:val="Łącze internetowe"/>
    <w:next w:val="style16"/>
    <w:rPr>
      <w:color w:val="0000FF"/>
      <w:u w:val="single"/>
    </w:rPr>
  </w:style>
  <w:style w:styleId="style17" w:type="character">
    <w:name w:val="Tekst przypisu końcowego Znak"/>
    <w:next w:val="style17"/>
    <w:rPr>
      <w:rFonts w:ascii="Times New Roman" w:cs="Times New Roman" w:eastAsia="Lucida Sans Unicode" w:hAnsi="Times New Roman"/>
    </w:rPr>
  </w:style>
  <w:style w:styleId="style18" w:type="character">
    <w:name w:val="Znaki przypisów końcowych"/>
    <w:next w:val="style18"/>
    <w:rPr>
      <w:vertAlign w:val="superscript"/>
    </w:rPr>
  </w:style>
  <w:style w:styleId="style19" w:type="character">
    <w:name w:val="Tekst przypisu dolnego Znak"/>
    <w:next w:val="style19"/>
    <w:rPr>
      <w:rFonts w:ascii="Times New Roman" w:cs="Times New Roman" w:eastAsia="Lucida Sans Unicode" w:hAnsi="Times New Roman"/>
    </w:rPr>
  </w:style>
  <w:style w:styleId="style20" w:type="character">
    <w:name w:val="Znaki przypisów dolnych"/>
    <w:next w:val="style20"/>
    <w:rPr>
      <w:vertAlign w:val="superscript"/>
    </w:rPr>
  </w:style>
  <w:style w:styleId="style21" w:type="character">
    <w:name w:val="Numer stron"/>
    <w:basedOn w:val="style15"/>
    <w:next w:val="style21"/>
    <w:rPr/>
  </w:style>
  <w:style w:styleId="style22" w:type="character">
    <w:name w:val="Odwołanie do komentarza"/>
    <w:next w:val="style22"/>
    <w:rPr>
      <w:sz w:val="16"/>
      <w:szCs w:val="16"/>
    </w:rPr>
  </w:style>
  <w:style w:styleId="style23" w:type="character">
    <w:name w:val="Tekst komentarza Znak"/>
    <w:next w:val="style23"/>
    <w:rPr>
      <w:rFonts w:ascii="Times New Roman" w:cs="Times New Roman" w:eastAsia="Lucida Sans Unicode" w:hAnsi="Times New Roman"/>
    </w:rPr>
  </w:style>
  <w:style w:styleId="style24" w:type="character">
    <w:name w:val="Temat komentarza Znak"/>
    <w:next w:val="style24"/>
    <w:rPr>
      <w:rFonts w:ascii="Times New Roman" w:cs="Times New Roman" w:eastAsia="Lucida Sans Unicode" w:hAnsi="Times New Roman"/>
      <w:b/>
      <w:bCs/>
    </w:rPr>
  </w:style>
  <w:style w:styleId="style25" w:type="character">
    <w:name w:val="Znaki numeracji"/>
    <w:next w:val="style25"/>
    <w:rPr/>
  </w:style>
  <w:style w:styleId="style26" w:type="character">
    <w:name w:val="Symbole wypunktowania"/>
    <w:next w:val="style26"/>
    <w:rPr>
      <w:rFonts w:ascii="OpenSymbol" w:cs="OpenSymbol" w:eastAsia="OpenSymbol" w:hAnsi="OpenSymbol"/>
    </w:rPr>
  </w:style>
  <w:style w:styleId="style27" w:type="character">
    <w:name w:val="Zakotwiczenie przypisu dolnego"/>
    <w:next w:val="style27"/>
    <w:rPr>
      <w:vertAlign w:val="superscript"/>
    </w:rPr>
  </w:style>
  <w:style w:styleId="style28" w:type="character">
    <w:name w:val="Zakotwiczenie przypisu końcowego"/>
    <w:next w:val="style28"/>
    <w:rPr>
      <w:vertAlign w:val="superscript"/>
    </w:rPr>
  </w:style>
  <w:style w:styleId="style29" w:type="paragraph">
    <w:name w:val="Nagłówek"/>
    <w:basedOn w:val="style0"/>
    <w:next w:val="style30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30" w:type="paragraph">
    <w:name w:val="Treść tekstu"/>
    <w:basedOn w:val="style0"/>
    <w:next w:val="style30"/>
    <w:pPr>
      <w:suppressAutoHyphens w:val="true"/>
      <w:spacing w:after="120" w:before="0"/>
      <w:ind w:hanging="0" w:left="0" w:right="0"/>
      <w:contextualSpacing w:val="false"/>
      <w:jc w:val="both"/>
    </w:pPr>
    <w:rPr/>
  </w:style>
  <w:style w:styleId="style31" w:type="paragraph">
    <w:name w:val="Lista"/>
    <w:basedOn w:val="style30"/>
    <w:next w:val="style31"/>
    <w:pPr/>
    <w:rPr>
      <w:rFonts w:cs="Lohit Hindi"/>
    </w:rPr>
  </w:style>
  <w:style w:styleId="style32" w:type="paragraph">
    <w:name w:val="Podpis"/>
    <w:basedOn w:val="style0"/>
    <w:next w:val="style32"/>
    <w:pPr>
      <w:suppressLineNumbers/>
      <w:spacing w:after="119" w:before="1134"/>
      <w:ind w:hanging="0" w:left="5669" w:right="0"/>
      <w:contextualSpacing w:val="false"/>
      <w:jc w:val="center"/>
    </w:pPr>
    <w:rPr>
      <w:rFonts w:cs="Lohit Hindi"/>
      <w:i/>
      <w:iCs/>
      <w:sz w:val="24"/>
      <w:szCs w:val="24"/>
    </w:rPr>
  </w:style>
  <w:style w:styleId="style33" w:type="paragraph">
    <w:name w:val="Indeks"/>
    <w:basedOn w:val="style0"/>
    <w:next w:val="style33"/>
    <w:pPr>
      <w:suppressLineNumbers/>
    </w:pPr>
    <w:rPr>
      <w:rFonts w:cs="Lohit Hindi"/>
    </w:rPr>
  </w:style>
  <w:style w:styleId="style34" w:type="paragraph">
    <w:name w:val="Akapit z listą"/>
    <w:basedOn w:val="style0"/>
    <w:next w:val="style34"/>
    <w:pPr>
      <w:spacing w:after="0" w:before="0"/>
      <w:ind w:hanging="0" w:left="720" w:right="0"/>
      <w:contextualSpacing/>
    </w:pPr>
    <w:rPr/>
  </w:style>
  <w:style w:styleId="style35" w:type="paragraph">
    <w:name w:val="Bez odstępów"/>
    <w:next w:val="style35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l-PL"/>
    </w:rPr>
  </w:style>
  <w:style w:styleId="style36" w:type="paragraph">
    <w:name w:val="Przypis końcowy"/>
    <w:basedOn w:val="style0"/>
    <w:next w:val="style36"/>
    <w:pPr/>
    <w:rPr>
      <w:sz w:val="20"/>
      <w:szCs w:val="20"/>
    </w:rPr>
  </w:style>
  <w:style w:styleId="style37" w:type="paragraph">
    <w:name w:val="Przypis dolny"/>
    <w:basedOn w:val="style0"/>
    <w:next w:val="style37"/>
    <w:pPr/>
    <w:rPr>
      <w:sz w:val="20"/>
      <w:szCs w:val="20"/>
    </w:rPr>
  </w:style>
  <w:style w:styleId="style38" w:type="paragraph">
    <w:name w:val="Tekst dymka"/>
    <w:basedOn w:val="style0"/>
    <w:next w:val="style38"/>
    <w:pPr/>
    <w:rPr>
      <w:rFonts w:ascii="Tahoma" w:cs="Tahoma" w:hAnsi="Tahoma"/>
      <w:sz w:val="16"/>
      <w:szCs w:val="16"/>
    </w:rPr>
  </w:style>
  <w:style w:styleId="style39" w:type="paragraph">
    <w:name w:val="Stopka"/>
    <w:basedOn w:val="style0"/>
    <w:next w:val="style39"/>
    <w:pPr>
      <w:tabs>
        <w:tab w:leader="none" w:pos="4536" w:val="center"/>
        <w:tab w:leader="none" w:pos="9072" w:val="right"/>
      </w:tabs>
    </w:pPr>
    <w:rPr/>
  </w:style>
  <w:style w:styleId="style40" w:type="paragraph">
    <w:name w:val="Tekst komentarza"/>
    <w:basedOn w:val="style0"/>
    <w:next w:val="style40"/>
    <w:pPr/>
    <w:rPr>
      <w:sz w:val="20"/>
      <w:szCs w:val="20"/>
    </w:rPr>
  </w:style>
  <w:style w:styleId="style41" w:type="paragraph">
    <w:name w:val="Temat komentarza"/>
    <w:basedOn w:val="style40"/>
    <w:next w:val="style40"/>
    <w:pPr/>
    <w:rPr>
      <w:b/>
      <w:bCs/>
    </w:rPr>
  </w:style>
  <w:style w:styleId="style42" w:type="paragraph">
    <w:name w:val="Zawartość ramki"/>
    <w:basedOn w:val="style30"/>
    <w:next w:val="style42"/>
    <w:pPr/>
    <w:rPr/>
  </w:style>
  <w:style w:styleId="style43" w:type="paragraph">
    <w:name w:val="Główka"/>
    <w:basedOn w:val="style0"/>
    <w:next w:val="style43"/>
    <w:pPr>
      <w:suppressLineNumbers/>
      <w:tabs>
        <w:tab w:leader="none" w:pos="4819" w:val="center"/>
        <w:tab w:leader="none" w:pos="9638" w:val="right"/>
      </w:tabs>
    </w:pPr>
    <w:rPr/>
  </w:style>
  <w:style w:styleId="style44" w:type="paragraph">
    <w:name w:val="Dowód"/>
    <w:basedOn w:val="style30"/>
    <w:next w:val="style44"/>
    <w:pPr>
      <w:spacing w:after="283" w:before="283"/>
      <w:ind w:hanging="0" w:left="1134" w:right="0"/>
      <w:contextualSpacing w:val="false"/>
    </w:pPr>
    <w:rPr/>
  </w:style>
  <w:style w:styleId="style45" w:type="paragraph">
    <w:name w:val="Dane adresowe"/>
    <w:basedOn w:val="style0"/>
    <w:next w:val="style45"/>
    <w:pPr>
      <w:spacing w:after="283" w:before="283"/>
      <w:ind w:hanging="283" w:left="5669" w:right="0"/>
      <w:contextualSpacing w:val="false"/>
    </w:pPr>
    <w:rPr/>
  </w:style>
  <w:style w:styleId="style46" w:type="paragraph">
    <w:name w:val="Cytat"/>
    <w:basedOn w:val="style0"/>
    <w:next w:val="style46"/>
    <w:pPr>
      <w:spacing w:after="283" w:before="0"/>
      <w:ind w:hanging="0" w:left="567" w:right="567"/>
      <w:contextualSpacing w:val="false"/>
      <w:jc w:val="both"/>
    </w:pPr>
    <w:rPr/>
  </w:style>
  <w:style w:styleId="style47" w:type="paragraph">
    <w:name w:val="Tres"/>
    <w:basedOn w:val="style46"/>
    <w:next w:val="style47"/>
    <w:pPr/>
    <w:rPr/>
  </w:style>
  <w:style w:styleId="style48" w:type="paragraph">
    <w:name w:val="Podtytuł"/>
    <w:basedOn w:val="style29"/>
    <w:next w:val="style30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Puste procesowe</Template>
  <TotalTime>1134</TotalTime>
  <Application>LibreOffice/4.1.3.2$Linux_x86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2013-11-18T23:09:32Z</dcterms:created>
  <dcterms:modified xsi:type="dcterms:W3CDTF">2013-12-29T05:10:18Z</dcterms:modified>
  <cp:revision>3</cp:revision>
  <dc:title>Puste procesowe</dc:title>
</cp:coreProperties>
</file>