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3" w:before="0"/>
        <w:contextualSpacing w:val="false"/>
        <w:jc w:val="right"/>
        <w:rPr>
          <w:shd w:fill="auto" w:val="clear"/>
        </w:rPr>
      </w:pPr>
      <w:r>
        <w:rPr>
          <w:shd w:fill="auto" w:val="clear"/>
        </w:rPr>
        <w:t xml:space="preserve">Warszawa, dnia </w:t>
      </w:r>
      <w:r>
        <w:rPr>
          <w:shd w:fill="auto" w:val="clear"/>
        </w:rPr>
        <w:fldChar w:fldCharType="begin"/>
      </w:r>
      <w:r>
        <w:instrText> DATE \@"d.MM.yyyy" </w:instrText>
      </w:r>
      <w:r>
        <w:fldChar w:fldCharType="separate"/>
      </w:r>
      <w:r>
        <w:t>28.12.2013</w:t>
      </w:r>
      <w:r>
        <w:fldChar w:fldCharType="end"/>
      </w:r>
      <w:r>
        <w:rPr>
          <w:shd w:fill="auto" w:val="clear"/>
        </w:rPr>
        <w:t>r.</w:t>
      </w:r>
    </w:p>
    <w:p>
      <w:pPr>
        <w:pStyle w:val="style43"/>
        <w:rPr>
          <w:shd w:fill="auto" w:val="clear"/>
        </w:rPr>
      </w:pPr>
      <w:r>
        <w:rPr>
          <w:shd w:fill="auto" w:val="clear"/>
        </w:rPr>
        <w:t>Wojewódzki Sąd Administracyjny</w:t>
        <w:br/>
        <w:t>w Warszawie</w:t>
      </w:r>
    </w:p>
    <w:p>
      <w:pPr>
        <w:pStyle w:val="style43"/>
        <w:shd w:fill="auto" w:val="clear"/>
        <w:rPr>
          <w:shd w:fill="FFFF00" w:val="clear"/>
        </w:rPr>
      </w:pPr>
      <w:r>
        <w:rPr>
          <w:shd w:fill="auto" w:val="clear"/>
        </w:rPr>
        <w:t>za pośrednictwem</w:t>
        <w:br/>
      </w:r>
      <w:r>
        <w:rPr>
          <w:shd w:fill="FFFF00" w:val="clear"/>
        </w:rPr>
        <w:t>Ministra Administracji i Cyfryzacji</w:t>
      </w:r>
    </w:p>
    <w:p>
      <w:pPr>
        <w:pStyle w:val="style43"/>
        <w:rPr>
          <w:shd w:fill="FFFF00" w:val="clear"/>
        </w:rPr>
      </w:pPr>
      <w:r>
        <w:rPr>
          <w:shd w:fill="auto" w:val="clear"/>
        </w:rPr>
        <w:t>Skarżący:</w:t>
        <w:br/>
      </w:r>
      <w:r>
        <w:rPr>
          <w:shd w:fill="FFFF00" w:val="clear"/>
        </w:rPr>
        <w:t>Adam Dobrawy</w:t>
        <w:br/>
      </w:r>
      <w:r>
        <w:rPr>
          <w:shd w:fill="FFFF00" w:val="clear"/>
        </w:rPr>
        <w:t>u. Ursynowska 22/2</w:t>
        <w:br/>
        <w:t>02-605 Warszawa</w:t>
      </w:r>
    </w:p>
    <w:p>
      <w:pPr>
        <w:pStyle w:val="style43"/>
        <w:rPr>
          <w:shd w:fill="FFFF00" w:val="clear"/>
        </w:rPr>
      </w:pPr>
      <w:r>
        <w:rPr>
          <w:shd w:fill="auto" w:val="clear"/>
        </w:rPr>
        <w:t>Strona przeciwna:</w:t>
        <w:br/>
      </w:r>
      <w:r>
        <w:rPr>
          <w:shd w:fill="FFFF00" w:val="clear"/>
        </w:rPr>
        <w:t>Minister Administracji i Cyfryzacji</w:t>
      </w:r>
    </w:p>
    <w:p>
      <w:pPr>
        <w:pStyle w:val="style1"/>
        <w:numPr>
          <w:ilvl w:val="0"/>
          <w:numId w:val="1"/>
        </w:numPr>
        <w:ind w:hanging="0" w:left="0" w:right="0"/>
        <w:jc w:val="center"/>
        <w:rPr>
          <w:b/>
          <w:bCs/>
          <w:i/>
          <w:iCs/>
          <w:shd w:fill="auto" w:val="clear"/>
        </w:rPr>
      </w:pPr>
      <w:r>
        <w:rPr>
          <w:b/>
          <w:bCs/>
          <w:i/>
          <w:iCs/>
          <w:shd w:fill="auto" w:val="clear"/>
        </w:rPr>
        <w:t>SKARGA</w:t>
      </w:r>
    </w:p>
    <w:p>
      <w:pPr>
        <w:pStyle w:val="style2"/>
        <w:numPr>
          <w:ilvl w:val="1"/>
          <w:numId w:val="1"/>
        </w:numPr>
        <w:ind w:hanging="0" w:left="0" w:right="0"/>
        <w:jc w:val="center"/>
        <w:rPr>
          <w:b/>
          <w:bCs/>
          <w:i/>
          <w:iCs/>
          <w:shd w:fill="auto" w:val="clear"/>
        </w:rPr>
      </w:pPr>
      <w:r>
        <w:rPr>
          <w:b/>
          <w:bCs/>
          <w:i/>
          <w:iCs/>
          <w:shd w:fill="auto" w:val="clear"/>
        </w:rPr>
        <w:t>na bezczynność</w:t>
      </w:r>
    </w:p>
    <w:p>
      <w:pPr>
        <w:pStyle w:val="style28"/>
        <w:rPr>
          <w:shd w:fill="auto" w:val="clear"/>
        </w:rPr>
      </w:pPr>
      <w:r>
        <w:rPr>
          <w:shd w:fill="auto" w:val="clear"/>
        </w:rPr>
        <w:t xml:space="preserve">W imieniu własnym </w:t>
      </w:r>
      <w:r>
        <w:rPr>
          <w:rFonts w:ascii="Times New Roman;serif" w:hAnsi="Times New Roman;serif"/>
          <w:sz w:val="24"/>
          <w:shd w:fill="auto" w:val="clear"/>
        </w:rPr>
        <w:t xml:space="preserve">na podstawie art. 3 § 2 pkt. 8 w zw. z pkt. 4 </w:t>
      </w:r>
      <w:r>
        <w:rPr>
          <w:shd w:fill="auto" w:val="clear"/>
        </w:rPr>
        <w:t xml:space="preserve"> ustawy z 30 sierpnia 2002 r. – Prawo o postępowaniu przed sądami administracyjnymi, wnoszę skargę na bezczynność </w:t>
      </w:r>
      <w:r>
        <w:rPr>
          <w:shd w:fill="FFFF00" w:val="clear"/>
        </w:rPr>
        <w:t>Ministra Administracji i Cyfryzacji</w:t>
      </w:r>
      <w:r>
        <w:rPr>
          <w:shd w:fill="auto" w:val="clear"/>
        </w:rPr>
        <w:t xml:space="preserve"> w przedmiocie nieudostępnienia w terminie informacji publicznych, poprzez naruszenie przepisów:</w:t>
      </w:r>
    </w:p>
    <w:p>
      <w:pPr>
        <w:pStyle w:val="style28"/>
        <w:numPr>
          <w:ilvl w:val="0"/>
          <w:numId w:val="3"/>
        </w:numPr>
        <w:rPr/>
      </w:pPr>
      <w:r>
        <w:rPr/>
        <w:t>art. 61 ust. 1 i 2 Konstytucji RP,</w:t>
      </w:r>
    </w:p>
    <w:p>
      <w:pPr>
        <w:pStyle w:val="style28"/>
        <w:numPr>
          <w:ilvl w:val="0"/>
          <w:numId w:val="3"/>
        </w:numPr>
        <w:rPr/>
      </w:pPr>
      <w:r>
        <w:rPr/>
        <w:t xml:space="preserve">art. 1 ust. 1 w zw. z art. 10 ust. 1 i art. 13 ust. 1 ustawy z dnia 6 września 2001 r. o dostępie do informacji publicznej </w:t>
      </w:r>
    </w:p>
    <w:p>
      <w:pPr>
        <w:pStyle w:val="style28"/>
        <w:rPr/>
      </w:pPr>
      <w:r>
        <w:rPr/>
        <w:t>poprzez nieudostępnienie informacji publicznej zgodnie z wnioskiem w określonym terminie, tj.:</w:t>
      </w:r>
    </w:p>
    <w:p>
      <w:pPr>
        <w:pStyle w:val="style28"/>
        <w:numPr>
          <w:ilvl w:val="0"/>
          <w:numId w:val="4"/>
        </w:numPr>
        <w:rPr>
          <w:shd w:fill="auto" w:val="clear"/>
        </w:rPr>
      </w:pPr>
      <w:r>
        <w:rPr/>
        <w:t xml:space="preserve">Czy </w:t>
      </w:r>
      <w:r>
        <w:rPr>
          <w:shd w:fill="FFFF00" w:val="clear"/>
        </w:rPr>
        <w:t>Minister Administracji i Cyfryzacji</w:t>
      </w:r>
      <w:r>
        <w:rPr/>
        <w:t xml:space="preserve"> prowadzi</w:t>
      </w:r>
      <w:r>
        <w:rPr>
          <w:shd w:fill="auto" w:val="clear"/>
        </w:rPr>
        <w:t xml:space="preserve"> Rejestr Umów?</w:t>
      </w:r>
    </w:p>
    <w:p>
      <w:pPr>
        <w:pStyle w:val="style28"/>
        <w:numPr>
          <w:ilvl w:val="1"/>
          <w:numId w:val="4"/>
        </w:numPr>
        <w:rPr/>
      </w:pPr>
      <w:r>
        <w:rPr/>
        <w:t xml:space="preserve">W przypadku odpowiedzi twierdzącej na pytanie </w:t>
      </w:r>
      <w:r>
        <w:rPr/>
        <w:t>w</w:t>
      </w:r>
      <w:r>
        <w:rPr/>
        <w:t>z punktu 1 – Czy Rejestr Umów prowadzony jest w formie elektronicznej?</w:t>
      </w:r>
    </w:p>
    <w:p>
      <w:pPr>
        <w:pStyle w:val="style28"/>
        <w:numPr>
          <w:ilvl w:val="2"/>
          <w:numId w:val="4"/>
        </w:numPr>
        <w:rPr/>
      </w:pPr>
      <w:r>
        <w:rPr/>
        <w:t>W przypadku odpowiedzi twierdzącej na pytanie z pkt. 1 ppkt. 1 – Jakie oprogramowanie służy do jego prowadzenia? Jakie oprogramowanie bazodanowe wspiera jego funkcjonowanie? Wnoszę o przesłanie stosownych umów (wraz z załącznikami i specyfikacją), faktur i protokołów zdawczo-odbiorczych.</w:t>
      </w:r>
    </w:p>
    <w:p>
      <w:pPr>
        <w:pStyle w:val="style28"/>
        <w:numPr>
          <w:ilvl w:val="2"/>
          <w:numId w:val="4"/>
        </w:numPr>
        <w:rPr/>
      </w:pPr>
      <w:r>
        <w:rPr/>
        <w:t>W przypadku odpowiedzi twierdzącej na pytanie z pkt. 1 ppkt 1– Jakie są możliwe kryteria przeszukiwania Rejestru Umów?</w:t>
      </w:r>
    </w:p>
    <w:p>
      <w:pPr>
        <w:pStyle w:val="style28"/>
        <w:numPr>
          <w:ilvl w:val="2"/>
          <w:numId w:val="4"/>
        </w:numPr>
        <w:rPr/>
      </w:pPr>
      <w:r>
        <w:rPr/>
        <w:t>W przypadku odpowiedzi twierdzącej na pytanie z pkt. 1 ppkt.1 – Czy oprogramowanie wykorzystywane do prowadzenia Rejestru Umów umożliwia wydruk zestawienia / eksport informacji w zakresie umów spełniających określone kryteria?</w:t>
      </w:r>
    </w:p>
    <w:p>
      <w:pPr>
        <w:pStyle w:val="style28"/>
        <w:numPr>
          <w:ilvl w:val="3"/>
          <w:numId w:val="4"/>
        </w:numPr>
        <w:rPr/>
      </w:pPr>
      <w:r>
        <w:rPr/>
        <w:t>W przypadku odpowiedzi twierdzącej na pytanie z pkt. 1 ppkt. 1 pppkt 3 – Jakie są możliwe kryteria przeszukiwania i jakie dane może zawierać zestawienie / eksport, o którym mowa w pkt. 1 ppkt. 1 pppkt 3?</w:t>
      </w:r>
    </w:p>
    <w:p>
      <w:pPr>
        <w:pStyle w:val="style28"/>
        <w:numPr>
          <w:ilvl w:val="2"/>
          <w:numId w:val="4"/>
        </w:numPr>
        <w:rPr/>
      </w:pPr>
      <w:r>
        <w:rPr/>
        <w:t>W przypadku odpowiedzi negatywnej na pytanie z pkt. 1 ppkt. 1 – Z jakim wyprzedzeniem nie dłuższym niż 14 dni należy uprzedzić urząd o woli wglądu do wymienionego rejestru?</w:t>
      </w:r>
    </w:p>
    <w:p>
      <w:pPr>
        <w:pStyle w:val="style28"/>
        <w:numPr>
          <w:ilvl w:val="1"/>
          <w:numId w:val="4"/>
        </w:numPr>
        <w:rPr/>
      </w:pPr>
      <w:r>
        <w:rPr/>
        <w:t>W przypadku odpowiedzi twierdzącej na pytanie z punktu 1 – Jakie informacje odnośnie umów gromadzi Rejestr Umów?</w:t>
      </w:r>
    </w:p>
    <w:p>
      <w:pPr>
        <w:pStyle w:val="style28"/>
        <w:numPr>
          <w:ilvl w:val="1"/>
          <w:numId w:val="4"/>
        </w:numPr>
        <w:rPr/>
      </w:pPr>
      <w:r>
        <w:rPr/>
        <w:t>W przypadku odpowiedzi twierdzącej na pytanie z punktu 1 – Jakie przepisy (ustawy, rozporządzenia, zarządzenia, regulaminy itp.) regulują jego funkcjonowanie? Wnoszę o przesłanie ich kopii.</w:t>
      </w:r>
    </w:p>
    <w:p>
      <w:pPr>
        <w:pStyle w:val="style28"/>
        <w:numPr>
          <w:ilvl w:val="1"/>
          <w:numId w:val="4"/>
        </w:numPr>
        <w:rPr/>
      </w:pPr>
      <w:r>
        <w:rPr/>
        <w:t>W przypadku odpowiedzi twierdzącej na pytanie z punktu 1</w:t>
      </w:r>
      <w:r>
        <w:rPr/>
        <w:t xml:space="preserve"> – </w:t>
      </w:r>
      <w:r>
        <w:rPr/>
        <w:t>Czy zaplanowana jest publikacja tego rejestru?</w:t>
      </w:r>
    </w:p>
    <w:p>
      <w:pPr>
        <w:pStyle w:val="style28"/>
        <w:numPr>
          <w:ilvl w:val="1"/>
          <w:numId w:val="4"/>
        </w:numPr>
        <w:rPr/>
      </w:pPr>
      <w:r>
        <w:rPr/>
        <w:t>W przypadku odpowiedzi negatywnej na pytanie z punktu 1 – Na jakim etapie jest wdrożenie takowego rejestru umów?</w:t>
      </w:r>
    </w:p>
    <w:p>
      <w:pPr>
        <w:pStyle w:val="style28"/>
        <w:numPr>
          <w:ilvl w:val="0"/>
          <w:numId w:val="4"/>
        </w:numPr>
        <w:rPr>
          <w:shd w:fill="auto" w:val="clear"/>
        </w:rPr>
      </w:pPr>
      <w:r>
        <w:rPr>
          <w:shd w:fill="auto" w:val="clear"/>
        </w:rPr>
        <w:t xml:space="preserve">Jakie rejestry zawierające informacje dotyczące umów zawieranych z </w:t>
      </w:r>
      <w:r>
        <w:rPr>
          <w:shd w:fill="FFFF00" w:val="clear"/>
        </w:rPr>
        <w:t>Ministerstwem Administracji i Cyfryzacji</w:t>
      </w:r>
      <w:r>
        <w:rPr>
          <w:shd w:fill="auto" w:val="clear"/>
        </w:rPr>
        <w:t xml:space="preserve"> funkcjonują? Jakie są zasady dostępu do nich?</w:t>
      </w:r>
    </w:p>
    <w:p>
      <w:pPr>
        <w:pStyle w:val="style28"/>
        <w:rPr/>
      </w:pPr>
      <w:r>
        <w:rPr/>
        <w:t>Jednocześnie wnoszę o:</w:t>
      </w:r>
    </w:p>
    <w:p>
      <w:pPr>
        <w:pStyle w:val="style28"/>
        <w:numPr>
          <w:ilvl w:val="0"/>
          <w:numId w:val="5"/>
        </w:numPr>
        <w:rPr>
          <w:shd w:fill="auto" w:val="clear"/>
        </w:rPr>
      </w:pPr>
      <w:r>
        <w:rPr/>
        <w:t xml:space="preserve">zobowiązanie strony przeciwnej do dokonania czynności w zakresie udostępnienia informacji publicznych zgodnie z moim wnioskiem z dnia </w:t>
      </w:r>
      <w:r>
        <w:rPr>
          <w:shd w:fill="FFFF00" w:val="clear"/>
        </w:rPr>
        <w:t>15 sierpnia 2013</w:t>
      </w:r>
      <w:r>
        <w:rPr>
          <w:shd w:fill="auto" w:val="clear"/>
        </w:rPr>
        <w:t xml:space="preserve"> </w:t>
      </w:r>
      <w:r>
        <w:rPr>
          <w:shd w:fill="auto" w:val="clear"/>
        </w:rPr>
        <w:t>roku,</w:t>
      </w:r>
    </w:p>
    <w:p>
      <w:pPr>
        <w:pStyle w:val="style28"/>
        <w:numPr>
          <w:ilvl w:val="0"/>
          <w:numId w:val="5"/>
        </w:numPr>
        <w:rPr/>
      </w:pPr>
      <w:r>
        <w:rPr/>
        <w:t>zasądzenie kosztów postępowania według norm przepisanych.</w:t>
      </w:r>
    </w:p>
    <w:p>
      <w:pPr>
        <w:pStyle w:val="style3"/>
        <w:numPr>
          <w:ilvl w:val="2"/>
          <w:numId w:val="1"/>
        </w:numPr>
        <w:rPr>
          <w:shd w:fill="auto" w:val="clear"/>
        </w:rPr>
      </w:pPr>
      <w:r>
        <w:rPr>
          <w:shd w:fill="auto" w:val="clear"/>
        </w:rPr>
        <w:t>Uzasadnienie</w:t>
      </w:r>
    </w:p>
    <w:p>
      <w:pPr>
        <w:pStyle w:val="style28"/>
        <w:rPr>
          <w:shd w:fill="auto" w:val="clear"/>
        </w:rPr>
      </w:pPr>
      <w:r>
        <w:rPr>
          <w:shd w:fill="auto" w:val="clear"/>
        </w:rPr>
        <w:t xml:space="preserve">Wnioskiem z dnia </w:t>
      </w:r>
      <w:r>
        <w:rPr>
          <w:shd w:fill="FFFF00" w:val="clear"/>
        </w:rPr>
        <w:t>15 sierpnia 2013</w:t>
      </w:r>
      <w:r>
        <w:rPr>
          <w:shd w:fill="auto" w:val="clear"/>
        </w:rPr>
        <w:t xml:space="preserve"> roku wniosłem do </w:t>
      </w:r>
      <w:r>
        <w:rPr>
          <w:shd w:fill="FFFF00" w:val="clear"/>
        </w:rPr>
        <w:t>Ministra Administracji i Cyfryzacji</w:t>
      </w:r>
      <w:r>
        <w:rPr>
          <w:shd w:fill="auto" w:val="clear"/>
        </w:rPr>
        <w:t xml:space="preserve"> o udostępnienie informacji publicznej w zakresie:</w:t>
      </w:r>
    </w:p>
    <w:p>
      <w:pPr>
        <w:pStyle w:val="style28"/>
        <w:numPr>
          <w:ilvl w:val="0"/>
          <w:numId w:val="6"/>
        </w:numPr>
        <w:rPr/>
      </w:pPr>
      <w:r>
        <w:rPr/>
        <w:t xml:space="preserve">Czy </w:t>
      </w:r>
      <w:r>
        <w:rPr>
          <w:shd w:fill="FFFF00" w:val="clear"/>
        </w:rPr>
        <w:t>Ministerstwo Administracji i Cyfryzacji</w:t>
      </w:r>
      <w:r>
        <w:rPr/>
        <w:t xml:space="preserve"> prowadzi </w:t>
      </w:r>
      <w:r>
        <w:rPr>
          <w:shd w:fill="FFFF00" w:val="clear"/>
        </w:rPr>
        <w:t>Rejestr Umów</w:t>
      </w:r>
      <w:r>
        <w:rPr/>
        <w:t>?</w:t>
      </w:r>
    </w:p>
    <w:p>
      <w:pPr>
        <w:pStyle w:val="style28"/>
        <w:numPr>
          <w:ilvl w:val="1"/>
          <w:numId w:val="6"/>
        </w:numPr>
        <w:rPr/>
      </w:pPr>
      <w:r>
        <w:rPr/>
        <w:t xml:space="preserve">W przypadku odpowiedzi twierdzącej na pytanie </w:t>
      </w:r>
      <w:r>
        <w:rPr/>
        <w:t>w</w:t>
      </w:r>
      <w:r>
        <w:rPr/>
        <w:t>z punktu 1 – Czy Rejestr Umów prowadzony jest w formie elektronicznej?</w:t>
      </w:r>
    </w:p>
    <w:p>
      <w:pPr>
        <w:pStyle w:val="style28"/>
        <w:numPr>
          <w:ilvl w:val="2"/>
          <w:numId w:val="6"/>
        </w:numPr>
        <w:rPr/>
      </w:pPr>
      <w:r>
        <w:rPr/>
        <w:t>W przypadku odpowiedzi twierdzącej na pytanie z pkt. 1 ppkt. 1 – Jakie oprogramowanie służy do jego prowadzenia? Jakie oprogramowanie bazodanowe wspiera jego funkcjonowanie? Wnoszę o przesłanie stosownych umów (wraz z załącznikami i specyfikacją), faktur i protokołów zdawczo-odbiorczych.</w:t>
      </w:r>
    </w:p>
    <w:p>
      <w:pPr>
        <w:pStyle w:val="style28"/>
        <w:numPr>
          <w:ilvl w:val="2"/>
          <w:numId w:val="6"/>
        </w:numPr>
        <w:rPr/>
      </w:pPr>
      <w:r>
        <w:rPr/>
        <w:t>W przypadku odpowiedzi twierdzącej na pytanie z pkt. 1 ppkt 1– Jakie są możliwe kryteria przeszukiwania Rejestru Umów?</w:t>
      </w:r>
    </w:p>
    <w:p>
      <w:pPr>
        <w:pStyle w:val="style28"/>
        <w:numPr>
          <w:ilvl w:val="2"/>
          <w:numId w:val="6"/>
        </w:numPr>
        <w:rPr/>
      </w:pPr>
      <w:r>
        <w:rPr/>
        <w:t>W przypadku odpowiedzi twierdzącej na pytanie z pkt. 1 ppkt.1 – Czy oprogramowanie wykorzystywane do prowadzenia Rejestru Umów umożliwia wydruk zestawienia / eksport informacji w zakresie umów spełniających określone kryteria?</w:t>
      </w:r>
    </w:p>
    <w:p>
      <w:pPr>
        <w:pStyle w:val="style28"/>
        <w:numPr>
          <w:ilvl w:val="3"/>
          <w:numId w:val="6"/>
        </w:numPr>
        <w:rPr/>
      </w:pPr>
      <w:r>
        <w:rPr/>
        <w:t>W przypadku odpowiedzi twierdzącej na pytanie z pkt. 1 ppkt. 1 pppkt 3 – Jakie są możliwe kryteria przeszukiwania i jakie dane może zawierać zestawienie / eksport, o którym mowa w pkt. 1 ppkt. 1 pppkt 3?</w:t>
      </w:r>
    </w:p>
    <w:p>
      <w:pPr>
        <w:pStyle w:val="style28"/>
        <w:numPr>
          <w:ilvl w:val="2"/>
          <w:numId w:val="6"/>
        </w:numPr>
        <w:rPr/>
      </w:pPr>
      <w:r>
        <w:rPr/>
        <w:t>W przypadku odpowiedzi negatywnej na pytanie z pkt. 1 ppkt. 1 – Z jakim wyprzedzeniem nie dłuższym niż 14 dni należy uprzedzić urząd o woli wglądu do wymienionego rejestru?</w:t>
      </w:r>
    </w:p>
    <w:p>
      <w:pPr>
        <w:pStyle w:val="style28"/>
        <w:numPr>
          <w:ilvl w:val="1"/>
          <w:numId w:val="6"/>
        </w:numPr>
        <w:rPr/>
      </w:pPr>
      <w:r>
        <w:rPr/>
        <w:t>W przypadku odpowiedzi twierdzącej na pytanie z punktu 1 – Jakie informacje odnośnie umów gromadzi Rejestr Umów?</w:t>
      </w:r>
    </w:p>
    <w:p>
      <w:pPr>
        <w:pStyle w:val="style28"/>
        <w:numPr>
          <w:ilvl w:val="1"/>
          <w:numId w:val="6"/>
        </w:numPr>
        <w:rPr/>
      </w:pPr>
      <w:r>
        <w:rPr/>
        <w:t>W przypadku odpowiedzi twierdzącej na pytanie z punktu 1 – Jakie przepisy (ustawy, rozporządzenia, zarządzenia, regulaminy itp.) regulują jego funkcjonowanie? Wnoszę o przesłanie ich kopii.</w:t>
      </w:r>
    </w:p>
    <w:p>
      <w:pPr>
        <w:pStyle w:val="style28"/>
        <w:numPr>
          <w:ilvl w:val="1"/>
          <w:numId w:val="6"/>
        </w:numPr>
        <w:rPr/>
      </w:pPr>
      <w:r>
        <w:rPr/>
        <w:t>W przypadku odpowiedzi twierdzącej na pytanie z punktu 1</w:t>
      </w:r>
      <w:r>
        <w:rPr/>
        <w:t xml:space="preserve"> – </w:t>
      </w:r>
      <w:r>
        <w:rPr/>
        <w:t>Czy zaplanowana jest publikacja tego rejestru?</w:t>
      </w:r>
    </w:p>
    <w:p>
      <w:pPr>
        <w:pStyle w:val="style28"/>
        <w:numPr>
          <w:ilvl w:val="1"/>
          <w:numId w:val="6"/>
        </w:numPr>
        <w:rPr/>
      </w:pPr>
      <w:r>
        <w:rPr/>
        <w:t>W przypadku odpowiedzi negatywnej na pytanie z punktu 1 – Na jakim etapie jest wdrożenie takowego rejestru umów?</w:t>
      </w:r>
    </w:p>
    <w:p>
      <w:pPr>
        <w:pStyle w:val="style28"/>
        <w:numPr>
          <w:ilvl w:val="0"/>
          <w:numId w:val="6"/>
        </w:numPr>
        <w:rPr>
          <w:shd w:fill="auto" w:val="clear"/>
        </w:rPr>
      </w:pPr>
      <w:r>
        <w:rPr>
          <w:shd w:fill="auto" w:val="clear"/>
        </w:rPr>
        <w:t xml:space="preserve">Jakie rejestry zawierające informacje dotyczące umów zawieranych z </w:t>
      </w:r>
      <w:r>
        <w:rPr>
          <w:shd w:fill="FFFF00" w:val="clear"/>
        </w:rPr>
        <w:t>Ministerstwo Administracji i Cyfryzacji</w:t>
      </w:r>
      <w:r>
        <w:rPr>
          <w:shd w:fill="auto" w:val="clear"/>
        </w:rPr>
        <w:t xml:space="preserve"> funkcjonują? Jakie są zasady dostępu do nich?</w:t>
      </w:r>
    </w:p>
    <w:p>
      <w:pPr>
        <w:pStyle w:val="style28"/>
        <w:rPr/>
      </w:pPr>
      <w:r>
        <w:rPr/>
        <w:t>Okre</w:t>
      </w:r>
      <w:r>
        <w:rPr>
          <w:shd w:fill="auto" w:val="clear"/>
        </w:rPr>
        <w:t>ślił</w:t>
      </w:r>
      <w:r>
        <w:rPr>
          <w:shd w:fill="auto" w:val="clear"/>
        </w:rPr>
        <w:t>e</w:t>
      </w:r>
      <w:r>
        <w:rPr>
          <w:shd w:fill="auto" w:val="clear"/>
        </w:rPr>
        <w:t>m,</w:t>
      </w:r>
      <w:r>
        <w:rPr/>
        <w:t xml:space="preserve"> że informacje w formie elektronicznej należy przesłać poprzez </w:t>
      </w:r>
      <w:r>
        <w:rPr>
          <w:shd w:fill="FFFF00" w:val="clear"/>
        </w:rPr>
        <w:t>ePUAP.</w:t>
      </w:r>
      <w:r>
        <w:rPr/>
        <w:t xml:space="preserve"> </w:t>
      </w:r>
    </w:p>
    <w:p>
      <w:pPr>
        <w:pStyle w:val="style42"/>
        <w:rPr>
          <w:shd w:fill="FFFF00" w:val="clear"/>
        </w:rPr>
      </w:pPr>
      <w:r>
        <w:rPr>
          <w:b/>
          <w:bCs/>
          <w:shd w:fill="FFFF00" w:val="clear"/>
        </w:rPr>
        <w:t xml:space="preserve">Załącznik: </w:t>
      </w:r>
      <w:r>
        <w:rPr>
          <w:b w:val="false"/>
          <w:bCs w:val="false"/>
          <w:shd w:fill="FFFF00" w:val="clear"/>
        </w:rPr>
        <w:t xml:space="preserve">wydruk </w:t>
      </w:r>
      <w:r>
        <w:rPr>
          <w:shd w:fill="FFFF00" w:val="clear"/>
        </w:rPr>
        <w:t>wniosku z dnia 15 sierpnia 2013 roku</w:t>
      </w:r>
    </w:p>
    <w:p>
      <w:pPr>
        <w:pStyle w:val="style42"/>
        <w:rPr>
          <w:b w:val="false"/>
          <w:bCs w:val="false"/>
          <w:shd w:fill="FFFF00" w:val="clear"/>
        </w:rPr>
      </w:pPr>
      <w:r>
        <w:rPr>
          <w:b/>
          <w:bCs/>
          <w:shd w:fill="FFFF00" w:val="clear"/>
        </w:rPr>
        <w:t>Załącznik:</w:t>
      </w:r>
      <w:r>
        <w:rPr>
          <w:b w:val="false"/>
          <w:bCs w:val="false"/>
          <w:shd w:fill="FFFF00" w:val="clear"/>
        </w:rPr>
        <w:t xml:space="preserve"> </w:t>
      </w:r>
      <w:r>
        <w:rPr>
          <w:b w:val="false"/>
          <w:bCs w:val="false"/>
          <w:shd w:fill="FFFF00" w:val="clear"/>
        </w:rPr>
        <w:t xml:space="preserve">wydruk </w:t>
      </w:r>
      <w:r>
        <w:rPr>
          <w:b w:val="false"/>
          <w:bCs w:val="false"/>
          <w:shd w:fill="FFFF00" w:val="clear"/>
        </w:rPr>
        <w:t xml:space="preserve">UPP </w:t>
      </w:r>
      <w:r>
        <w:rPr>
          <w:b w:val="false"/>
          <w:bCs w:val="false"/>
          <w:shd w:fill="FFFF00" w:val="clear"/>
        </w:rPr>
        <w:t xml:space="preserve">ePUAP </w:t>
      </w:r>
      <w:r>
        <w:rPr>
          <w:b w:val="false"/>
          <w:bCs w:val="false"/>
          <w:shd w:fill="FFFF00" w:val="clear"/>
        </w:rPr>
        <w:t>z dnia 15 sierpnia 2013 roku</w:t>
      </w:r>
    </w:p>
    <w:p>
      <w:pPr>
        <w:pStyle w:val="style28"/>
        <w:rPr>
          <w:shd w:fill="FFFF00" w:val="clear"/>
        </w:rPr>
      </w:pPr>
      <w:r>
        <w:rPr>
          <w:shd w:fill="auto" w:val="clear"/>
        </w:rPr>
        <w:t xml:space="preserve">W piśmie z dnia </w:t>
      </w:r>
      <w:r>
        <w:rPr>
          <w:shd w:fill="FFFF00" w:val="clear"/>
        </w:rPr>
        <w:t>20 sierpnia 2013 roku</w:t>
      </w:r>
      <w:r>
        <w:rPr>
          <w:shd w:fill="auto" w:val="clear"/>
        </w:rPr>
        <w:t xml:space="preserve"> podmiot poinformował, że udzieli odpowiedzi do dnia </w:t>
      </w:r>
      <w:r>
        <w:rPr>
          <w:shd w:fill="FFFF00" w:val="clear"/>
        </w:rPr>
        <w:t>24 września 2013 roku</w:t>
      </w:r>
    </w:p>
    <w:p>
      <w:pPr>
        <w:pStyle w:val="style42"/>
        <w:rPr>
          <w:b w:val="false"/>
          <w:bCs w:val="false"/>
          <w:shd w:fill="FFFF00" w:val="clear"/>
        </w:rPr>
      </w:pPr>
      <w:r>
        <w:rPr>
          <w:b/>
          <w:bCs/>
          <w:shd w:fill="FFFF00" w:val="clear"/>
        </w:rPr>
        <w:t>Załącznik</w:t>
      </w:r>
      <w:r>
        <w:rPr>
          <w:shd w:fill="FFFF00" w:val="clear"/>
        </w:rPr>
        <w:t>:</w:t>
      </w:r>
      <w:r>
        <w:rPr>
          <w:b w:val="false"/>
          <w:bCs w:val="false"/>
          <w:shd w:fill="FFFF00" w:val="clear"/>
        </w:rPr>
        <w:t xml:space="preserve"> wydruk pisma z dnia 20 sierpnia 2013 roku</w:t>
      </w:r>
    </w:p>
    <w:p>
      <w:pPr>
        <w:pStyle w:val="style28"/>
        <w:rPr>
          <w:shd w:fill="auto" w:val="clear"/>
        </w:rPr>
      </w:pPr>
      <w:r>
        <w:rPr>
          <w:shd w:fill="auto" w:val="clear"/>
        </w:rPr>
        <w:t xml:space="preserve">W piśmie z dnia </w:t>
      </w:r>
      <w:r>
        <w:rPr>
          <w:shd w:fill="FFFF00" w:val="clear"/>
        </w:rPr>
        <w:t>2</w:t>
      </w:r>
      <w:r>
        <w:rPr>
          <w:shd w:fill="FFFF00" w:val="clear"/>
        </w:rPr>
        <w:t>4 września</w:t>
      </w:r>
      <w:r>
        <w:rPr>
          <w:shd w:fill="FFFF00" w:val="clear"/>
        </w:rPr>
        <w:t xml:space="preserve">  2013 roku</w:t>
      </w:r>
      <w:r>
        <w:rPr>
          <w:shd w:fill="auto" w:val="clear"/>
        </w:rPr>
        <w:t xml:space="preserve"> podmiot </w:t>
      </w:r>
      <w:r>
        <w:rPr>
          <w:shd w:fill="auto" w:val="clear"/>
        </w:rPr>
        <w:t>udzielił odpowiedzi niepełnej</w:t>
      </w:r>
      <w:r>
        <w:rPr>
          <w:shd w:fill="auto" w:val="clear"/>
        </w:rPr>
        <w:t>.</w:t>
      </w:r>
    </w:p>
    <w:p>
      <w:pPr>
        <w:pStyle w:val="style42"/>
        <w:rPr>
          <w:shd w:fill="FFFF00" w:val="clear"/>
        </w:rPr>
      </w:pPr>
      <w:r>
        <w:rPr>
          <w:b/>
          <w:bCs/>
          <w:shd w:fill="FFFF00" w:val="clear"/>
        </w:rPr>
        <w:t>Załącznik</w:t>
      </w:r>
      <w:r>
        <w:rPr>
          <w:shd w:fill="FFFF00" w:val="clear"/>
        </w:rPr>
        <w:t>: wydruk pisma ePUAP z dnia 28 sierpnia 2013 roku</w:t>
      </w:r>
    </w:p>
    <w:p>
      <w:pPr>
        <w:pStyle w:val="style42"/>
        <w:rPr>
          <w:b w:val="false"/>
          <w:bCs w:val="false"/>
          <w:shd w:fill="FFFF00" w:val="clear"/>
        </w:rPr>
      </w:pPr>
      <w:r>
        <w:rPr>
          <w:b/>
          <w:bCs/>
          <w:shd w:fill="FFFF00" w:val="clear"/>
        </w:rPr>
        <w:t>Załącznik:</w:t>
      </w:r>
      <w:r>
        <w:rPr>
          <w:b w:val="false"/>
          <w:bCs w:val="false"/>
          <w:shd w:fill="FFFF00" w:val="clear"/>
        </w:rPr>
        <w:t xml:space="preserve"> wydruk załącznika ePUAP</w:t>
      </w:r>
    </w:p>
    <w:p>
      <w:pPr>
        <w:pStyle w:val="style28"/>
        <w:rPr>
          <w:shd w:fill="FFFF00" w:val="clear"/>
        </w:rPr>
      </w:pPr>
      <w:r>
        <w:rPr>
          <w:shd w:fill="FFFF00" w:val="clear"/>
        </w:rPr>
        <w:t xml:space="preserve">Udzielona odpowiedź była niepełna, gdyż nie zawierała kopii treści dokumentów, o których mowa w punkt 1 podpunkt 3 wniosku. Organ zupełnie wcale nie odniósł się do przesłania kopii treści tych dokumentów, pomimo odwołania się do nich w treści odpowiedzi. </w:t>
      </w:r>
    </w:p>
    <w:p>
      <w:pPr>
        <w:pStyle w:val="style28"/>
        <w:rPr/>
      </w:pPr>
      <w:r>
        <w:rPr/>
        <w:t xml:space="preserve">Za wniosek pisemny uznaje się również przesłanie zapytania pocztą elektroniczną i to nawet gdy do jej autoryzacji nie zostanie użyty podpis elektroniczny (wyrok NSA - I OSK 1277/08). </w:t>
      </w:r>
    </w:p>
    <w:p>
      <w:pPr>
        <w:pStyle w:val="style28"/>
        <w:rPr>
          <w:shd w:fill="auto" w:val="clear"/>
        </w:rPr>
      </w:pPr>
      <w:r>
        <w:rPr>
          <w:shd w:fill="auto" w:val="clear"/>
        </w:rPr>
        <w:t>P</w:t>
      </w:r>
      <w:r>
        <w:rPr>
          <w:shd w:fill="auto" w:val="clear"/>
        </w:rPr>
        <w:t xml:space="preserve">rzedstawienie informacji zupełnie innej, niż ta, na którą oczekuje wnioskodawca, </w:t>
      </w:r>
      <w:r>
        <w:rPr>
          <w:rStyle w:val="style15"/>
          <w:u w:val="single"/>
          <w:shd w:fill="auto" w:val="clear"/>
        </w:rPr>
        <w:t>informacji niepełnej</w:t>
      </w:r>
      <w:r>
        <w:rPr>
          <w:shd w:fill="auto" w:val="clear"/>
        </w:rPr>
        <w:t xml:space="preserve"> lub też informacji wymijającej czy  wręcz </w:t>
      </w:r>
      <w:r>
        <w:rPr>
          <w:u w:val="none"/>
          <w:shd w:fill="auto" w:val="clear"/>
        </w:rPr>
        <w:t>nieadekwatnej do treści wniosku</w:t>
      </w:r>
      <w:r>
        <w:rPr>
          <w:shd w:fill="auto" w:val="clear"/>
        </w:rPr>
        <w:t>, świadczy o bezczynności podmiotu  zobowiązanego do udostępnienia informacji publicznej.(</w:t>
      </w:r>
      <w:r>
        <w:rPr/>
        <w:t>I OSK 1512/11 - Wyrok NSA</w:t>
      </w:r>
      <w:r>
        <w:rPr>
          <w:shd w:fill="auto" w:val="clear"/>
        </w:rPr>
        <w:t xml:space="preserve">; </w:t>
      </w:r>
      <w:r>
        <w:rPr/>
        <w:t>I OSK 2569/12 - Wyrok NSA</w:t>
      </w:r>
      <w:r>
        <w:rPr>
          <w:shd w:fill="auto" w:val="clear"/>
        </w:rPr>
        <w:t xml:space="preserve">). </w:t>
      </w:r>
    </w:p>
    <w:p>
      <w:pPr>
        <w:pStyle w:val="style28"/>
        <w:rPr/>
      </w:pPr>
      <w:r>
        <w:rPr/>
        <w:t xml:space="preserve">Skarga na bezczynność w przedmiocie informacji publicznej nie musi być poprzedzona żadnym środkiem zaskarżenia, w tym wezwaniem do usunięcia naruszenia prawa (I OSK 646/10 - Postanowienie NSA; I OSK 1048/11 - Wyrok NSA; I OSK 601/05 - Wyrok NSA). </w:t>
      </w:r>
    </w:p>
    <w:p>
      <w:pPr>
        <w:pStyle w:val="style28"/>
        <w:rPr/>
      </w:pPr>
      <w:r>
        <w:rPr/>
        <w:t xml:space="preserve">Do dnia wniesienia skargi nie został </w:t>
      </w:r>
      <w:r>
        <w:rPr/>
        <w:t xml:space="preserve">należycie </w:t>
      </w:r>
      <w:r>
        <w:rPr/>
        <w:t>wykonany mój wniosek o udostępnienie informacji publicznej.</w:t>
      </w:r>
    </w:p>
    <w:p>
      <w:pPr>
        <w:pStyle w:val="style28"/>
        <w:rPr/>
      </w:pPr>
      <w:r>
        <w:rPr/>
        <w:t xml:space="preserve">Podmiot </w:t>
      </w:r>
      <w:r>
        <w:rPr/>
        <w:t>co prawda podjął działania w sprawie, ale były one niedostateczne i nie wypełniły prawnych obowiązków określonych w ustawie o dostępie do informacji publicznej</w:t>
      </w:r>
      <w:r>
        <w:rPr/>
        <w:t>.</w:t>
      </w:r>
    </w:p>
    <w:p>
      <w:pPr>
        <w:pStyle w:val="style28"/>
        <w:rPr/>
      </w:pPr>
      <w:r>
        <w:rPr/>
        <w:t>W tych okolicznościach skarga jest konieczna i uzasadniona.</w:t>
      </w:r>
    </w:p>
    <w:p>
      <w:pPr>
        <w:pStyle w:val="style30"/>
        <w:rPr>
          <w:shd w:fill="FFFF00" w:val="clear"/>
        </w:rPr>
      </w:pPr>
      <w:r>
        <w:rPr>
          <w:shd w:fill="FFFF00" w:val="clear"/>
        </w:rPr>
        <w:t>Adam Dobrawy</w:t>
      </w:r>
    </w:p>
    <w:p>
      <w:pPr>
        <w:pStyle w:val="style28"/>
        <w:rPr>
          <w:b/>
          <w:bCs/>
        </w:rPr>
      </w:pPr>
      <w:r>
        <w:rPr>
          <w:b/>
          <w:bCs/>
        </w:rPr>
        <w:t>W załączeniu:</w:t>
      </w:r>
    </w:p>
    <w:p>
      <w:pPr>
        <w:pStyle w:val="style28"/>
        <w:numPr>
          <w:ilvl w:val="0"/>
          <w:numId w:val="7"/>
        </w:numPr>
        <w:rPr/>
      </w:pPr>
      <w:r>
        <w:rPr/>
        <w:t>załączniki wymienione w skardze,</w:t>
      </w:r>
    </w:p>
    <w:p>
      <w:pPr>
        <w:pStyle w:val="style28"/>
        <w:numPr>
          <w:ilvl w:val="0"/>
          <w:numId w:val="7"/>
        </w:numPr>
        <w:spacing w:after="120" w:before="0"/>
        <w:contextualSpacing w:val="false"/>
        <w:rPr/>
      </w:pPr>
      <w:r>
        <w:rPr/>
        <w:t>odpis skargi wraz z załącznikami.</w:t>
      </w:r>
    </w:p>
    <w:sectPr>
      <w:footerReference r:id="rId2" w:type="default"/>
      <w:type w:val="nextPage"/>
      <w:pgSz w:h="16838" w:w="11906"/>
      <w:pgMar w:bottom="1417" w:footer="708" w:gutter="0" w:header="0" w:left="1276" w:right="850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Times New Roman">
    <w:altName w:val="serif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1" w:type="paragraph">
    <w:name w:val="Nagłówek 1"/>
    <w:basedOn w:val="style27"/>
    <w:next w:val="style28"/>
    <w:pPr>
      <w:numPr>
        <w:ilvl w:val="0"/>
        <w:numId w:val="1"/>
      </w:numPr>
      <w:jc w:val="center"/>
      <w:outlineLvl w:val="0"/>
    </w:pPr>
    <w:rPr>
      <w:b/>
      <w:bCs/>
      <w:sz w:val="32"/>
      <w:szCs w:val="32"/>
    </w:rPr>
  </w:style>
  <w:style w:styleId="style2" w:type="paragraph">
    <w:name w:val="Nagłówek 2"/>
    <w:basedOn w:val="style27"/>
    <w:next w:val="style28"/>
    <w:pPr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styleId="style3" w:type="paragraph">
    <w:name w:val="Nagłówek 3"/>
    <w:basedOn w:val="style27"/>
    <w:next w:val="style28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Domyślna czcionka akapitu"/>
    <w:next w:val="style15"/>
    <w:rPr/>
  </w:style>
  <w:style w:styleId="style16" w:type="character">
    <w:name w:val="Łącze internetowe"/>
    <w:next w:val="style16"/>
    <w:rPr>
      <w:color w:val="0000FF"/>
      <w:u w:val="single"/>
    </w:rPr>
  </w:style>
  <w:style w:styleId="style17" w:type="character">
    <w:name w:val="Tekst przypisu końcowego Znak"/>
    <w:next w:val="style17"/>
    <w:rPr>
      <w:rFonts w:ascii="Times New Roman" w:cs="Times New Roman" w:eastAsia="Lucida Sans Unicode" w:hAnsi="Times New Roman"/>
    </w:rPr>
  </w:style>
  <w:style w:styleId="style18" w:type="character">
    <w:name w:val="Znaki przypisów końcowych"/>
    <w:next w:val="style18"/>
    <w:rPr>
      <w:vertAlign w:val="superscript"/>
    </w:rPr>
  </w:style>
  <w:style w:styleId="style19" w:type="character">
    <w:name w:val="Tekst przypisu dolnego Znak"/>
    <w:next w:val="style19"/>
    <w:rPr>
      <w:rFonts w:ascii="Times New Roman" w:cs="Times New Roman" w:eastAsia="Lucida Sans Unicode" w:hAnsi="Times New Roman"/>
    </w:rPr>
  </w:style>
  <w:style w:styleId="style20" w:type="character">
    <w:name w:val="Znaki przypisów dolnych"/>
    <w:next w:val="style20"/>
    <w:rPr>
      <w:vertAlign w:val="superscript"/>
    </w:rPr>
  </w:style>
  <w:style w:styleId="style21" w:type="character">
    <w:name w:val="Numer stron"/>
    <w:basedOn w:val="style15"/>
    <w:next w:val="style21"/>
    <w:rPr/>
  </w:style>
  <w:style w:styleId="style22" w:type="character">
    <w:name w:val="Odwołanie do komentarza"/>
    <w:next w:val="style22"/>
    <w:rPr>
      <w:sz w:val="16"/>
      <w:szCs w:val="16"/>
    </w:rPr>
  </w:style>
  <w:style w:styleId="style23" w:type="character">
    <w:name w:val="Tekst komentarza Znak"/>
    <w:next w:val="style23"/>
    <w:rPr>
      <w:rFonts w:ascii="Times New Roman" w:cs="Times New Roman" w:eastAsia="Lucida Sans Unicode" w:hAnsi="Times New Roman"/>
    </w:rPr>
  </w:style>
  <w:style w:styleId="style24" w:type="character">
    <w:name w:val="Temat komentarza Znak"/>
    <w:next w:val="style24"/>
    <w:rPr>
      <w:rFonts w:ascii="Times New Roman" w:cs="Times New Roman" w:eastAsia="Lucida Sans Unicode" w:hAnsi="Times New Roman"/>
      <w:b/>
      <w:bCs/>
    </w:rPr>
  </w:style>
  <w:style w:styleId="style25" w:type="character">
    <w:name w:val="Znaki numeracji"/>
    <w:next w:val="style25"/>
    <w:rPr/>
  </w:style>
  <w:style w:styleId="style26" w:type="character">
    <w:name w:val="Symbole wypunktowania"/>
    <w:next w:val="style26"/>
    <w:rPr>
      <w:rFonts w:ascii="OpenSymbol" w:cs="OpenSymbol" w:eastAsia="OpenSymbol" w:hAnsi="OpenSymbol"/>
    </w:rPr>
  </w:style>
  <w:style w:styleId="style27" w:type="paragraph">
    <w:name w:val="Nagłówek"/>
    <w:basedOn w:val="style0"/>
    <w:next w:val="style2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8" w:type="paragraph">
    <w:name w:val="Treść tekstu"/>
    <w:basedOn w:val="style0"/>
    <w:next w:val="style28"/>
    <w:pPr>
      <w:suppressAutoHyphens w:val="false"/>
      <w:spacing w:after="120" w:before="0"/>
      <w:ind w:hanging="0" w:left="0" w:right="0"/>
      <w:contextualSpacing w:val="false"/>
      <w:jc w:val="both"/>
    </w:pPr>
    <w:rPr/>
  </w:style>
  <w:style w:styleId="style29" w:type="paragraph">
    <w:name w:val="Lista"/>
    <w:basedOn w:val="style28"/>
    <w:next w:val="style29"/>
    <w:pPr/>
    <w:rPr>
      <w:rFonts w:cs="Lohit Hindi"/>
    </w:rPr>
  </w:style>
  <w:style w:styleId="style30" w:type="paragraph">
    <w:name w:val="Podpis"/>
    <w:basedOn w:val="style0"/>
    <w:next w:val="style30"/>
    <w:pPr>
      <w:suppressLineNumbers/>
      <w:spacing w:after="119" w:before="1134"/>
      <w:ind w:hanging="0" w:left="5669" w:right="0"/>
      <w:contextualSpacing w:val="false"/>
      <w:jc w:val="center"/>
    </w:pPr>
    <w:rPr>
      <w:rFonts w:cs="Lohit Hindi"/>
      <w:i/>
      <w:iCs/>
      <w:sz w:val="24"/>
      <w:szCs w:val="24"/>
    </w:rPr>
  </w:style>
  <w:style w:styleId="style31" w:type="paragraph">
    <w:name w:val="Indeks"/>
    <w:basedOn w:val="style0"/>
    <w:next w:val="style31"/>
    <w:pPr>
      <w:suppressLineNumbers/>
    </w:pPr>
    <w:rPr>
      <w:rFonts w:cs="Lohit Hindi"/>
    </w:rPr>
  </w:style>
  <w:style w:styleId="style32" w:type="paragraph">
    <w:name w:val="Akapit z listą"/>
    <w:basedOn w:val="style0"/>
    <w:next w:val="style32"/>
    <w:pPr>
      <w:spacing w:after="0" w:before="0"/>
      <w:ind w:hanging="0" w:left="720" w:right="0"/>
      <w:contextualSpacing/>
    </w:pPr>
    <w:rPr/>
  </w:style>
  <w:style w:styleId="style33" w:type="paragraph">
    <w:name w:val="Bez odstępów"/>
    <w:next w:val="style33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34" w:type="paragraph">
    <w:name w:val="Przypis końcowy"/>
    <w:basedOn w:val="style0"/>
    <w:next w:val="style34"/>
    <w:pPr/>
    <w:rPr>
      <w:sz w:val="20"/>
      <w:szCs w:val="20"/>
    </w:rPr>
  </w:style>
  <w:style w:styleId="style35" w:type="paragraph">
    <w:name w:val="Przypis dolny"/>
    <w:basedOn w:val="style0"/>
    <w:next w:val="style35"/>
    <w:pPr/>
    <w:rPr>
      <w:sz w:val="20"/>
      <w:szCs w:val="20"/>
    </w:rPr>
  </w:style>
  <w:style w:styleId="style36" w:type="paragraph">
    <w:name w:val="Tekst dymka"/>
    <w:basedOn w:val="style0"/>
    <w:next w:val="style36"/>
    <w:pPr/>
    <w:rPr>
      <w:rFonts w:ascii="Tahoma" w:cs="Tahoma" w:hAnsi="Tahoma"/>
      <w:sz w:val="16"/>
      <w:szCs w:val="16"/>
    </w:rPr>
  </w:style>
  <w:style w:styleId="style37" w:type="paragraph">
    <w:name w:val="Stopka"/>
    <w:basedOn w:val="style0"/>
    <w:next w:val="style37"/>
    <w:pPr>
      <w:tabs>
        <w:tab w:leader="none" w:pos="4536" w:val="center"/>
        <w:tab w:leader="none" w:pos="9072" w:val="right"/>
      </w:tabs>
    </w:pPr>
    <w:rPr/>
  </w:style>
  <w:style w:styleId="style38" w:type="paragraph">
    <w:name w:val="Tekst komentarza"/>
    <w:basedOn w:val="style0"/>
    <w:next w:val="style38"/>
    <w:pPr/>
    <w:rPr>
      <w:sz w:val="20"/>
      <w:szCs w:val="20"/>
    </w:rPr>
  </w:style>
  <w:style w:styleId="style39" w:type="paragraph">
    <w:name w:val="Temat komentarza"/>
    <w:basedOn w:val="style38"/>
    <w:next w:val="style38"/>
    <w:pPr/>
    <w:rPr>
      <w:b/>
      <w:bCs/>
    </w:rPr>
  </w:style>
  <w:style w:styleId="style40" w:type="paragraph">
    <w:name w:val="Zawartość ramki"/>
    <w:basedOn w:val="style28"/>
    <w:next w:val="style40"/>
    <w:pPr/>
    <w:rPr/>
  </w:style>
  <w:style w:styleId="style41" w:type="paragraph">
    <w:name w:val="Główka"/>
    <w:basedOn w:val="style0"/>
    <w:next w:val="style41"/>
    <w:pPr>
      <w:suppressLineNumbers/>
      <w:tabs>
        <w:tab w:leader="none" w:pos="4819" w:val="center"/>
        <w:tab w:leader="none" w:pos="9638" w:val="right"/>
      </w:tabs>
    </w:pPr>
    <w:rPr/>
  </w:style>
  <w:style w:styleId="style42" w:type="paragraph">
    <w:name w:val="Dowód"/>
    <w:basedOn w:val="style28"/>
    <w:next w:val="style42"/>
    <w:pPr>
      <w:spacing w:after="283" w:before="283"/>
      <w:ind w:hanging="0" w:left="1134" w:right="0"/>
      <w:contextualSpacing w:val="false"/>
    </w:pPr>
    <w:rPr/>
  </w:style>
  <w:style w:styleId="style43" w:type="paragraph">
    <w:name w:val="Dane adresowe"/>
    <w:basedOn w:val="style0"/>
    <w:next w:val="style43"/>
    <w:pPr>
      <w:spacing w:after="283" w:before="283"/>
      <w:ind w:hanging="283" w:left="5669" w:right="0"/>
      <w:contextualSpacing w:val="false"/>
    </w:pPr>
    <w:rPr/>
  </w:style>
  <w:style w:styleId="style44" w:type="paragraph">
    <w:name w:val="Cytat"/>
    <w:basedOn w:val="style0"/>
    <w:next w:val="style44"/>
    <w:pPr>
      <w:spacing w:after="283" w:before="0"/>
      <w:ind w:hanging="0" w:left="567" w:right="567"/>
      <w:contextualSpacing w:val="false"/>
    </w:pPr>
    <w:rPr/>
  </w:style>
  <w:style w:styleId="style45" w:type="paragraph">
    <w:name w:val="Tytuł"/>
    <w:basedOn w:val="style27"/>
    <w:next w:val="style28"/>
    <w:pPr>
      <w:jc w:val="center"/>
    </w:pPr>
    <w:rPr>
      <w:b/>
      <w:bCs/>
      <w:sz w:val="36"/>
      <w:szCs w:val="36"/>
    </w:rPr>
  </w:style>
  <w:style w:styleId="style46" w:type="paragraph">
    <w:name w:val="Podtytuł"/>
    <w:basedOn w:val="style27"/>
    <w:next w:val="style28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3870</TotalTime>
  <Application>LibreOffice/4.1.2.3$Linux_x86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2013-04-10T08:45:00Z</dcterms:created>
  <dc:creator>Szymon</dc:creator>
  <cp:lastPrinted>2013-04-10T16:33:00Z</cp:lastPrinted>
  <dcterms:modified xsi:type="dcterms:W3CDTF">2013-11-11T21:49:49Z</dcterms:modified>
  <cp:revision>14</cp:revision>
  <dc:title>Radom, dnia …… 2008 r</dc:title>
</cp:coreProperties>
</file>