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  <w:jc w:val="right"/>
        <w:rPr>
          <w:shd w:fill="auto" w:val="clear"/>
        </w:rPr>
      </w:pPr>
      <w:r>
        <w:rPr>
          <w:shd w:fill="auto" w:val="clear"/>
        </w:rPr>
        <w:t xml:space="preserve">Warszawa, </w:t>
      </w:r>
      <w:r>
        <w:rPr>
          <w:shd w:fill="auto" w:val="clear"/>
        </w:rPr>
        <w:fldChar w:fldCharType="begin"/>
      </w:r>
      <w:r>
        <w:instrText> DATE \@"d.MM.yyyy" </w:instrText>
      </w:r>
      <w:r>
        <w:fldChar w:fldCharType="separate"/>
      </w:r>
      <w:r>
        <w:t>29.12.2013</w:t>
      </w:r>
      <w:r>
        <w:fldChar w:fldCharType="end"/>
      </w:r>
    </w:p>
    <w:p>
      <w:pPr>
        <w:pStyle w:val="style45"/>
        <w:rPr>
          <w:shd w:fill="FFFF00" w:val="clear"/>
        </w:rPr>
      </w:pPr>
      <w:r>
        <w:rPr>
          <w:shd w:fill="FFFF00" w:val="clear"/>
        </w:rPr>
        <w:t>Ministerstwo Nauki i Szkolnictwa Wyższego</w:t>
      </w:r>
    </w:p>
    <w:p>
      <w:pPr>
        <w:pStyle w:val="style45"/>
        <w:rPr>
          <w:shd w:fill="FFFF00" w:val="clear"/>
        </w:rPr>
      </w:pPr>
      <w:r>
        <w:rPr>
          <w:shd w:fill="auto" w:val="clear"/>
        </w:rPr>
        <w:t>Wnioskodawca</w:t>
      </w:r>
      <w:r>
        <w:rPr>
          <w:shd w:fill="auto" w:val="clear"/>
        </w:rPr>
        <w:t>:</w:t>
        <w:br/>
      </w:r>
      <w:r>
        <w:rPr>
          <w:shd w:fill="FFFF00" w:val="clear"/>
        </w:rPr>
        <w:t>Adam Dobrawy</w:t>
      </w:r>
      <w:r>
        <w:rPr>
          <w:shd w:fill="auto" w:val="clear"/>
        </w:rPr>
        <w:br/>
      </w:r>
      <w:r>
        <w:rPr>
          <w:shd w:fill="FFFF00" w:val="clear"/>
        </w:rPr>
        <w:t>ePUAP</w:t>
      </w:r>
      <w:r>
        <w:rPr>
          <w:rStyle w:val="style27"/>
          <w:shd w:fill="FFFF00" w:val="clear"/>
        </w:rPr>
        <w:footnoteReference w:id="2"/>
      </w:r>
      <w:r>
        <w:rPr>
          <w:shd w:fill="FFFF00" w:val="clear"/>
        </w:rPr>
        <w:t>: lew</w:t>
      </w:r>
    </w:p>
    <w:p>
      <w:pPr>
        <w:pStyle w:val="style43"/>
        <w:rPr>
          <w:rFonts w:cs="Times New Roman" w:eastAsia="Times New Roman"/>
          <w:sz w:val="24"/>
          <w:szCs w:val="24"/>
          <w:shd w:fill="FFFF00" w:val="clear"/>
          <w:lang w:eastAsia="pl-PL"/>
        </w:rPr>
      </w:pPr>
      <w:r>
        <w:rPr>
          <w:shd w:fill="auto" w:val="clear"/>
        </w:rPr>
        <w:t>D</w:t>
      </w:r>
      <w:r>
        <w:rPr>
          <w:shd w:fill="auto" w:val="clear"/>
        </w:rPr>
        <w:t xml:space="preserve">otyczy: </w:t>
      </w:r>
      <w:r>
        <w:rPr>
          <w:shd w:fill="FFFF00" w:val="clear"/>
        </w:rPr>
        <w:t xml:space="preserve">pismo znak </w:t>
      </w:r>
      <w:r>
        <w:rPr>
          <w:rFonts w:cs="Times New Roman" w:eastAsia="Times New Roman"/>
          <w:sz w:val="24"/>
          <w:szCs w:val="24"/>
          <w:shd w:fill="FFFF00" w:val="clear"/>
          <w:lang w:eastAsia="pl-PL"/>
        </w:rPr>
        <w:t>BDG.WSO.162.103</w:t>
      </w:r>
      <w:bookmarkStart w:id="0" w:name="_GoBack"/>
      <w:bookmarkEnd w:id="0"/>
      <w:r>
        <w:rPr>
          <w:rFonts w:cs="Times New Roman" w:eastAsia="Times New Roman"/>
          <w:sz w:val="24"/>
          <w:szCs w:val="24"/>
          <w:shd w:fill="FFFF00" w:val="clear"/>
          <w:lang w:eastAsia="pl-PL"/>
        </w:rPr>
        <w:t xml:space="preserve">.2013 </w:t>
      </w:r>
      <w:r>
        <w:rPr>
          <w:rFonts w:cs="Times New Roman" w:eastAsia="Times New Roman"/>
          <w:sz w:val="24"/>
          <w:szCs w:val="24"/>
          <w:shd w:fill="FFFF00" w:val="clear"/>
          <w:lang w:eastAsia="pl-PL"/>
        </w:rPr>
        <w:t xml:space="preserve">z dn. 29 listopada 2013 </w:t>
      </w:r>
      <w:r>
        <w:rPr>
          <w:rFonts w:cs="Times New Roman" w:eastAsia="Times New Roman"/>
          <w:sz w:val="24"/>
          <w:szCs w:val="24"/>
          <w:shd w:fill="FFFF00" w:val="clear"/>
          <w:lang w:eastAsia="pl-PL"/>
        </w:rPr>
        <w:t>roku</w:t>
      </w:r>
    </w:p>
    <w:p>
      <w:pPr>
        <w:pStyle w:val="style1"/>
        <w:numPr>
          <w:ilvl w:val="0"/>
          <w:numId w:val="1"/>
        </w:numPr>
        <w:rPr>
          <w:shd w:fill="auto" w:val="clear"/>
        </w:rPr>
      </w:pPr>
      <w:r>
        <w:rPr>
          <w:shd w:fill="auto" w:val="clear"/>
        </w:rPr>
        <w:t>WEZWANIE</w:t>
      </w:r>
    </w:p>
    <w:p>
      <w:pPr>
        <w:pStyle w:val="style2"/>
        <w:numPr>
          <w:ilvl w:val="1"/>
          <w:numId w:val="1"/>
        </w:numPr>
        <w:rPr>
          <w:shd w:fill="auto" w:val="clear"/>
        </w:rPr>
      </w:pPr>
      <w:r>
        <w:rPr>
          <w:shd w:fill="auto" w:val="clear"/>
        </w:rPr>
        <w:t>do wykonania wniosku</w:t>
      </w:r>
    </w:p>
    <w:p>
      <w:pPr>
        <w:pStyle w:val="style30"/>
        <w:rPr/>
      </w:pPr>
      <w:r>
        <w:rPr/>
        <w:t xml:space="preserve">Wzywam do wykonania wniosku z dnia </w:t>
      </w:r>
      <w:r>
        <w:rPr>
          <w:shd w:fill="FFFF00" w:val="clear"/>
        </w:rPr>
        <w:t>30 września</w:t>
      </w:r>
      <w:r>
        <w:rPr>
          <w:shd w:fill="FFFF00" w:val="clear"/>
        </w:rPr>
        <w:t xml:space="preserve"> 2013 roku</w:t>
      </w:r>
      <w:r>
        <w:rPr/>
        <w:t xml:space="preserve"> </w:t>
      </w:r>
      <w:r>
        <w:rPr/>
        <w:t>i udostępnienia informacji publicznej w formie określonej w wniosku lub wydania decyzji o umorzeniu postępowania.</w:t>
      </w:r>
    </w:p>
    <w:p>
      <w:pPr>
        <w:pStyle w:val="style30"/>
        <w:rPr>
          <w:shd w:fill="FFFF00" w:val="clear"/>
        </w:rPr>
      </w:pPr>
      <w:r>
        <w:rPr>
          <w:shd w:fill="FFFF00" w:val="clear"/>
        </w:rPr>
        <w:t xml:space="preserve">Przypominam, że </w:t>
      </w:r>
      <w:r>
        <w:rPr>
          <w:shd w:fill="FFFF00" w:val="clear"/>
        </w:rPr>
        <w:t>w wniosku z dnia 30 września wskazałem zakres:</w:t>
      </w:r>
    </w:p>
    <w:p>
      <w:pPr>
        <w:pStyle w:val="style46"/>
        <w:rPr>
          <w:i/>
          <w:iCs/>
          <w:shd w:fill="FFFF00" w:val="clear"/>
        </w:rPr>
      </w:pPr>
      <w:r>
        <w:rPr>
          <w:i/>
          <w:iCs/>
          <w:shd w:fill="FFFF00" w:val="clear"/>
        </w:rPr>
        <w:t>zestawienia umowy dotyczących udzielenia zamówienia publicznego zawartych w roku 2013 w oparciu o Rejestr zamówień publicznych</w:t>
      </w:r>
      <w:r>
        <w:rPr>
          <w:i/>
          <w:iCs/>
          <w:u w:val="none"/>
          <w:shd w:fill="FFFF00" w:val="clear"/>
        </w:rPr>
        <w:t xml:space="preserve"> </w:t>
      </w:r>
      <w:r>
        <w:rPr>
          <w:i/>
          <w:iCs/>
          <w:u w:val="single"/>
          <w:shd w:fill="FFFF00" w:val="clear"/>
        </w:rPr>
        <w:t>w formie arkusza kalkulacyjnego</w:t>
      </w:r>
      <w:r>
        <w:rPr>
          <w:i/>
          <w:iCs/>
          <w:shd w:fill="FFFF00" w:val="clear"/>
        </w:rPr>
        <w:t xml:space="preserve"> zawierającego co najmniej dane w zakresie oznaczenie centralnego rejestru np. I/N/2013, I/W/2012 (N-notatka, W-wniosek), nr i data wniosku/notatki, przedmiotu  zamówienia, rodzaju zamówienia, wartość zamówienia netto / brutto, wykonawca umowy/ zamówienia, termin realizacji umowy / zamówienia, informacje o aneksie do umowy (jeżeli dotyczy), uwagi</w:t>
      </w:r>
    </w:p>
    <w:p>
      <w:pPr>
        <w:pStyle w:val="style30"/>
        <w:rPr>
          <w:shd w:fill="auto" w:val="clear"/>
        </w:rPr>
      </w:pPr>
      <w:r>
        <w:rPr>
          <w:shd w:fill="auto" w:val="clear"/>
        </w:rPr>
        <w:t xml:space="preserve">Pouczam, że zgodnie </w:t>
      </w:r>
      <w:r>
        <w:rPr>
          <w:shd w:fill="auto" w:val="clear"/>
        </w:rPr>
        <w:t>z art. 14 ustawy, udostępnianie informacji publicznej na wniosek następuje w sposób i w formie zgodnych z wnioskiem, chyba że środki techniczne, którymi dysponuje podmiot obowiązany do udostępnienia, nie umożliwiają udostępnienia informacji w sposób i w formie określonych we wniosku (ust. 1).</w:t>
      </w:r>
    </w:p>
    <w:p>
      <w:pPr>
        <w:pStyle w:val="style30"/>
        <w:rPr>
          <w:shd w:fill="auto" w:val="clear"/>
        </w:rPr>
      </w:pPr>
      <w:r>
        <w:rPr>
          <w:shd w:fill="auto" w:val="clear"/>
        </w:rPr>
        <w:t xml:space="preserve">Nie jest możliwe narzucenie stronie formy realizacji jej prawa do informacji publicznej </w:t>
      </w:r>
      <w:r>
        <w:rPr>
          <w:shd w:fill="auto" w:val="clear"/>
        </w:rPr>
        <w:t>(</w:t>
      </w:r>
      <w:r>
        <w:rPr/>
        <w:t>II SA/Wa 620/10 - Wyrok WSA w Warszawi</w:t>
      </w:r>
      <w:r>
        <w:rPr/>
        <w:t>e)</w:t>
      </w:r>
      <w:r>
        <w:rPr>
          <w:shd w:fill="auto" w:val="clear"/>
        </w:rPr>
        <w:t>.</w:t>
      </w:r>
    </w:p>
    <w:p>
      <w:pPr>
        <w:pStyle w:val="style30"/>
        <w:rPr>
          <w:shd w:fill="auto" w:val="clear"/>
        </w:rPr>
      </w:pPr>
      <w:r>
        <w:rPr>
          <w:shd w:fill="auto" w:val="clear"/>
        </w:rPr>
        <w:t>Przypominam,</w:t>
      </w:r>
      <w:r>
        <w:rPr>
          <w:shd w:fill="auto" w:val="clear"/>
        </w:rPr>
        <w:t xml:space="preserve"> że skarga na bezczynność w przedmiocie informacji publicznej nie musi być poprzedzona żadnym środkiem zaskarżenia, w tym wezwaniem do usunięcia naruszenia prawa (I OSK 646/10 - Postanowienie NSA; I OSK 1048/11 - Wyrok NSA; I OSK 601/05 - Wyrok NSA). </w:t>
      </w:r>
    </w:p>
    <w:p>
      <w:pPr>
        <w:pStyle w:val="style30"/>
        <w:rPr/>
      </w:pPr>
      <w:r>
        <w:rPr>
          <w:b/>
          <w:bCs/>
        </w:rPr>
        <w:t>Żądam udzielenia odpowiedzi w terminie do 7 dni w formie i sposób określony w wniosku</w:t>
      </w:r>
      <w:r>
        <w:rPr/>
        <w:t xml:space="preserve"> pod rygorem podjęcia stosownych kroków prawnych przewidzianych ustawą o dostępie do informacji publicznej oraz Prawo o postępowaniu przed sądami administracyjnymi.</w:t>
      </w:r>
    </w:p>
    <w:p>
      <w:pPr>
        <w:pStyle w:val="style32"/>
        <w:spacing w:after="119" w:before="1134"/>
        <w:contextualSpacing w:val="false"/>
        <w:rPr>
          <w:shd w:fill="auto" w:val="clear"/>
        </w:rPr>
      </w:pPr>
      <w:r>
        <w:rPr/>
        <w:t>Z wyrazami szacu</w:t>
      </w:r>
      <w:r>
        <w:rPr>
          <w:shd w:fill="auto" w:val="clear"/>
        </w:rPr>
        <w:t>nku,</w:t>
        <w:br/>
      </w:r>
      <w:r>
        <w:rPr>
          <w:shd w:fill="FFFF00" w:val="clear"/>
        </w:rPr>
        <w:t>Adam Dobrawy</w:t>
      </w:r>
      <w:r>
        <w:rPr>
          <w:shd w:fill="auto" w:val="clear"/>
        </w:rPr>
        <w:br/>
      </w:r>
      <w:r>
        <w:rPr>
          <w:shd w:fill="auto" w:val="clear"/>
        </w:rPr>
        <w:t>[podpis elektroniczny]</w:t>
      </w:r>
    </w:p>
    <w:sectPr>
      <w:footerReference r:id="rId2" w:type="default"/>
      <w:footnotePr>
        <w:numFmt w:val="decimal"/>
      </w:footnotePr>
      <w:type w:val="nextPage"/>
      <w:pgSz w:h="16838" w:w="11906"/>
      <w:pgMar w:bottom="1417" w:footer="708" w:gutter="0" w:header="0" w:left="1276" w:right="850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9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7"/>
        <w:rPr/>
      </w:pPr>
      <w:r>
        <w:rPr/>
        <w:footnoteRef/>
        <w:tab/>
        <w:t>Stosownie do art. 39[1] KPA.</w:t>
      </w:r>
    </w:p>
  </w:footnote>
</w:footnote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imes New Roman" w:eastAsia="Lucida Sans Unicode" w:hAnsi="Times New Roman"/>
      <w:color w:val="auto"/>
      <w:sz w:val="24"/>
      <w:szCs w:val="24"/>
      <w:lang w:bidi="ar-SA" w:eastAsia="zh-CN" w:val="pl-PL"/>
    </w:rPr>
  </w:style>
  <w:style w:styleId="style1" w:type="paragraph">
    <w:name w:val="Nagłówek 1"/>
    <w:basedOn w:val="style2"/>
    <w:next w:val="style30"/>
    <w:pPr>
      <w:numPr>
        <w:ilvl w:val="0"/>
        <w:numId w:val="1"/>
      </w:numPr>
      <w:jc w:val="center"/>
      <w:outlineLvl w:val="0"/>
    </w:pPr>
    <w:rPr>
      <w:b/>
      <w:bCs/>
      <w:sz w:val="32"/>
      <w:szCs w:val="32"/>
    </w:rPr>
  </w:style>
  <w:style w:styleId="style2" w:type="paragraph">
    <w:name w:val="Nagłówek 2"/>
    <w:basedOn w:val="style29"/>
    <w:next w:val="style30"/>
    <w:pPr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styleId="style3" w:type="paragraph">
    <w:name w:val="Nagłówek 3"/>
    <w:basedOn w:val="style29"/>
    <w:next w:val="style30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Domyślna czcionka akapitu"/>
    <w:next w:val="style15"/>
    <w:rPr/>
  </w:style>
  <w:style w:styleId="style16" w:type="character">
    <w:name w:val="Łącze internetowe"/>
    <w:next w:val="style16"/>
    <w:rPr>
      <w:color w:val="0000FF"/>
      <w:u w:val="single"/>
    </w:rPr>
  </w:style>
  <w:style w:styleId="style17" w:type="character">
    <w:name w:val="Tekst przypisu końcowego Znak"/>
    <w:next w:val="style17"/>
    <w:rPr>
      <w:rFonts w:ascii="Times New Roman" w:cs="Times New Roman" w:eastAsia="Lucida Sans Unicode" w:hAnsi="Times New Roman"/>
    </w:rPr>
  </w:style>
  <w:style w:styleId="style18" w:type="character">
    <w:name w:val="Znaki przypisów końcowych"/>
    <w:next w:val="style18"/>
    <w:rPr>
      <w:vertAlign w:val="superscript"/>
    </w:rPr>
  </w:style>
  <w:style w:styleId="style19" w:type="character">
    <w:name w:val="Tekst przypisu dolnego Znak"/>
    <w:next w:val="style19"/>
    <w:rPr>
      <w:rFonts w:ascii="Times New Roman" w:cs="Times New Roman" w:eastAsia="Lucida Sans Unicode" w:hAnsi="Times New Roman"/>
    </w:rPr>
  </w:style>
  <w:style w:styleId="style20" w:type="character">
    <w:name w:val="Znaki przypisów dolnych"/>
    <w:next w:val="style20"/>
    <w:rPr>
      <w:vertAlign w:val="superscript"/>
    </w:rPr>
  </w:style>
  <w:style w:styleId="style21" w:type="character">
    <w:name w:val="Numer stron"/>
    <w:basedOn w:val="style15"/>
    <w:next w:val="style21"/>
    <w:rPr/>
  </w:style>
  <w:style w:styleId="style22" w:type="character">
    <w:name w:val="Odwołanie do komentarza"/>
    <w:next w:val="style22"/>
    <w:rPr>
      <w:sz w:val="16"/>
      <w:szCs w:val="16"/>
    </w:rPr>
  </w:style>
  <w:style w:styleId="style23" w:type="character">
    <w:name w:val="Tekst komentarza Znak"/>
    <w:next w:val="style23"/>
    <w:rPr>
      <w:rFonts w:ascii="Times New Roman" w:cs="Times New Roman" w:eastAsia="Lucida Sans Unicode" w:hAnsi="Times New Roman"/>
    </w:rPr>
  </w:style>
  <w:style w:styleId="style24" w:type="character">
    <w:name w:val="Temat komentarza Znak"/>
    <w:next w:val="style24"/>
    <w:rPr>
      <w:rFonts w:ascii="Times New Roman" w:cs="Times New Roman" w:eastAsia="Lucida Sans Unicode" w:hAnsi="Times New Roman"/>
      <w:b/>
      <w:bCs/>
    </w:rPr>
  </w:style>
  <w:style w:styleId="style25" w:type="character">
    <w:name w:val="Znaki numeracji"/>
    <w:next w:val="style25"/>
    <w:rPr/>
  </w:style>
  <w:style w:styleId="style26" w:type="character">
    <w:name w:val="Symbole wypunktowania"/>
    <w:next w:val="style26"/>
    <w:rPr>
      <w:rFonts w:ascii="OpenSymbol" w:cs="OpenSymbol" w:eastAsia="OpenSymbol" w:hAnsi="OpenSymbol"/>
    </w:rPr>
  </w:style>
  <w:style w:styleId="style27" w:type="character">
    <w:name w:val="Zakotwiczenie przypisu dolnego"/>
    <w:next w:val="style27"/>
    <w:rPr>
      <w:vertAlign w:val="superscript"/>
    </w:rPr>
  </w:style>
  <w:style w:styleId="style28" w:type="character">
    <w:name w:val="Zakotwiczenie przypisu końcowego"/>
    <w:next w:val="style28"/>
    <w:rPr>
      <w:vertAlign w:val="superscript"/>
    </w:rPr>
  </w:style>
  <w:style w:styleId="style29" w:type="paragraph">
    <w:name w:val="Nagłówek"/>
    <w:basedOn w:val="style0"/>
    <w:next w:val="style30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30" w:type="paragraph">
    <w:name w:val="Treść tekstu"/>
    <w:basedOn w:val="style0"/>
    <w:next w:val="style30"/>
    <w:pPr>
      <w:suppressAutoHyphens w:val="true"/>
      <w:spacing w:after="120" w:before="0"/>
      <w:ind w:hanging="0" w:left="0" w:right="0"/>
      <w:contextualSpacing w:val="false"/>
      <w:jc w:val="both"/>
    </w:pPr>
    <w:rPr/>
  </w:style>
  <w:style w:styleId="style31" w:type="paragraph">
    <w:name w:val="Lista"/>
    <w:basedOn w:val="style30"/>
    <w:next w:val="style31"/>
    <w:pPr/>
    <w:rPr>
      <w:rFonts w:cs="Lohit Hindi"/>
    </w:rPr>
  </w:style>
  <w:style w:styleId="style32" w:type="paragraph">
    <w:name w:val="Podpis"/>
    <w:basedOn w:val="style0"/>
    <w:next w:val="style32"/>
    <w:pPr>
      <w:suppressLineNumbers/>
      <w:spacing w:after="119" w:before="1134"/>
      <w:ind w:hanging="0" w:left="5669" w:right="0"/>
      <w:contextualSpacing w:val="false"/>
      <w:jc w:val="center"/>
    </w:pPr>
    <w:rPr>
      <w:rFonts w:cs="Lohit Hindi"/>
      <w:i/>
      <w:iCs/>
      <w:sz w:val="24"/>
      <w:szCs w:val="24"/>
    </w:rPr>
  </w:style>
  <w:style w:styleId="style33" w:type="paragraph">
    <w:name w:val="Indeks"/>
    <w:basedOn w:val="style0"/>
    <w:next w:val="style33"/>
    <w:pPr>
      <w:suppressLineNumbers/>
    </w:pPr>
    <w:rPr>
      <w:rFonts w:cs="Lohit Hindi"/>
    </w:rPr>
  </w:style>
  <w:style w:styleId="style34" w:type="paragraph">
    <w:name w:val="Akapit z listą"/>
    <w:basedOn w:val="style0"/>
    <w:next w:val="style34"/>
    <w:pPr>
      <w:spacing w:after="0" w:before="0"/>
      <w:ind w:hanging="0" w:left="720" w:right="0"/>
      <w:contextualSpacing/>
    </w:pPr>
    <w:rPr/>
  </w:style>
  <w:style w:styleId="style35" w:type="paragraph">
    <w:name w:val="Bez odstępów"/>
    <w:next w:val="style35"/>
    <w:pPr>
      <w:widowControl w:val="false"/>
      <w:suppressAutoHyphens w:val="true"/>
      <w:kinsoku w:val="true"/>
      <w:overflowPunct w:val="true"/>
      <w:autoSpaceDE w:val="true"/>
    </w:pPr>
    <w:rPr>
      <w:rFonts w:ascii="Times New Roman" w:cs="Times New Roman" w:eastAsia="Lucida Sans Unicode" w:hAnsi="Times New Roman"/>
      <w:color w:val="auto"/>
      <w:sz w:val="24"/>
      <w:szCs w:val="24"/>
      <w:lang w:bidi="ar-SA" w:eastAsia="zh-CN" w:val="pl-PL"/>
    </w:rPr>
  </w:style>
  <w:style w:styleId="style36" w:type="paragraph">
    <w:name w:val="Przypis końcowy"/>
    <w:basedOn w:val="style0"/>
    <w:next w:val="style36"/>
    <w:pPr/>
    <w:rPr>
      <w:sz w:val="20"/>
      <w:szCs w:val="20"/>
    </w:rPr>
  </w:style>
  <w:style w:styleId="style37" w:type="paragraph">
    <w:name w:val="Przypis dolny"/>
    <w:basedOn w:val="style0"/>
    <w:next w:val="style37"/>
    <w:pPr/>
    <w:rPr>
      <w:sz w:val="20"/>
      <w:szCs w:val="20"/>
    </w:rPr>
  </w:style>
  <w:style w:styleId="style38" w:type="paragraph">
    <w:name w:val="Tekst dymka"/>
    <w:basedOn w:val="style0"/>
    <w:next w:val="style38"/>
    <w:pPr/>
    <w:rPr>
      <w:rFonts w:ascii="Tahoma" w:cs="Tahoma" w:hAnsi="Tahoma"/>
      <w:sz w:val="16"/>
      <w:szCs w:val="16"/>
    </w:rPr>
  </w:style>
  <w:style w:styleId="style39" w:type="paragraph">
    <w:name w:val="Stopka"/>
    <w:basedOn w:val="style0"/>
    <w:next w:val="style39"/>
    <w:pPr>
      <w:tabs>
        <w:tab w:leader="none" w:pos="4536" w:val="center"/>
        <w:tab w:leader="none" w:pos="9072" w:val="right"/>
      </w:tabs>
    </w:pPr>
    <w:rPr/>
  </w:style>
  <w:style w:styleId="style40" w:type="paragraph">
    <w:name w:val="Tekst komentarza"/>
    <w:basedOn w:val="style0"/>
    <w:next w:val="style40"/>
    <w:pPr/>
    <w:rPr>
      <w:sz w:val="20"/>
      <w:szCs w:val="20"/>
    </w:rPr>
  </w:style>
  <w:style w:styleId="style41" w:type="paragraph">
    <w:name w:val="Temat komentarza"/>
    <w:basedOn w:val="style40"/>
    <w:next w:val="style40"/>
    <w:pPr/>
    <w:rPr>
      <w:b/>
      <w:bCs/>
    </w:rPr>
  </w:style>
  <w:style w:styleId="style42" w:type="paragraph">
    <w:name w:val="Zawartość ramki"/>
    <w:basedOn w:val="style30"/>
    <w:next w:val="style42"/>
    <w:pPr/>
    <w:rPr/>
  </w:style>
  <w:style w:styleId="style43" w:type="paragraph">
    <w:name w:val="Główka"/>
    <w:basedOn w:val="style0"/>
    <w:next w:val="style43"/>
    <w:pPr>
      <w:suppressLineNumbers/>
      <w:tabs>
        <w:tab w:leader="none" w:pos="4819" w:val="center"/>
        <w:tab w:leader="none" w:pos="9638" w:val="right"/>
      </w:tabs>
    </w:pPr>
    <w:rPr/>
  </w:style>
  <w:style w:styleId="style44" w:type="paragraph">
    <w:name w:val="Dowód"/>
    <w:basedOn w:val="style30"/>
    <w:next w:val="style44"/>
    <w:pPr>
      <w:spacing w:after="283" w:before="283"/>
      <w:ind w:hanging="0" w:left="1134" w:right="0"/>
      <w:contextualSpacing w:val="false"/>
    </w:pPr>
    <w:rPr/>
  </w:style>
  <w:style w:styleId="style45" w:type="paragraph">
    <w:name w:val="Dane adresowe"/>
    <w:basedOn w:val="style0"/>
    <w:next w:val="style45"/>
    <w:pPr>
      <w:spacing w:after="283" w:before="283"/>
      <w:ind w:hanging="283" w:left="5669" w:right="0"/>
      <w:contextualSpacing w:val="false"/>
    </w:pPr>
    <w:rPr/>
  </w:style>
  <w:style w:styleId="style46" w:type="paragraph">
    <w:name w:val="Cytat"/>
    <w:basedOn w:val="style0"/>
    <w:next w:val="style46"/>
    <w:pPr>
      <w:spacing w:after="283" w:before="0"/>
      <w:ind w:hanging="0" w:left="567" w:right="567"/>
      <w:contextualSpacing w:val="false"/>
      <w:jc w:val="both"/>
    </w:pPr>
    <w:rPr/>
  </w:style>
  <w:style w:styleId="style47" w:type="paragraph">
    <w:name w:val="Tres"/>
    <w:basedOn w:val="style46"/>
    <w:next w:val="style47"/>
    <w:pPr/>
    <w:rPr/>
  </w:style>
  <w:style w:styleId="style48" w:type="paragraph">
    <w:name w:val="Tytuł"/>
    <w:basedOn w:val="style29"/>
    <w:next w:val="style30"/>
    <w:pPr>
      <w:jc w:val="center"/>
    </w:pPr>
    <w:rPr>
      <w:b/>
      <w:bCs/>
      <w:sz w:val="36"/>
      <w:szCs w:val="36"/>
    </w:rPr>
  </w:style>
  <w:style w:styleId="style49" w:type="paragraph">
    <w:name w:val="Podtytuł"/>
    <w:basedOn w:val="style29"/>
    <w:next w:val="style30"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Puste procesowe</Template>
  <TotalTime>758</TotalTime>
  <Application>LibreOffice/4.1.2.3$Linux_x86 LibreOffice_project/410m0$Build-3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2013-11-11T21:24:30Z</dcterms:created>
  <dcterms:modified xsi:type="dcterms:W3CDTF">2013-11-29T19:31:27Z</dcterms:modified>
  <cp:revision>4</cp:revision>
  <dc:title>Puste procesowe</dc:title>
</cp:coreProperties>
</file>